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E3" w:rsidRPr="00BB0BA5" w:rsidRDefault="005A4FE3" w:rsidP="005A4FE3">
      <w:pPr>
        <w:spacing w:line="360" w:lineRule="auto"/>
        <w:jc w:val="both"/>
        <w:rPr>
          <w:rFonts w:ascii="Palatino Linotype" w:hAnsi="Palatino Linotype"/>
          <w:b/>
          <w:sz w:val="24"/>
          <w:szCs w:val="24"/>
        </w:rPr>
      </w:pPr>
      <w:r w:rsidRPr="00BB0BA5">
        <w:rPr>
          <w:rFonts w:ascii="Palatino Linotype" w:hAnsi="Palatino Linotype"/>
          <w:b/>
          <w:sz w:val="24"/>
          <w:szCs w:val="24"/>
        </w:rPr>
        <w:t>OPINIÓN PARTICULAR DEL COMISIONADO JOSÉ GUADALUPE LUNA HERNÁND</w:t>
      </w:r>
      <w:r w:rsidR="00F53C9F" w:rsidRPr="00BB0BA5">
        <w:rPr>
          <w:rFonts w:ascii="Palatino Linotype" w:hAnsi="Palatino Linotype"/>
          <w:b/>
          <w:sz w:val="24"/>
          <w:szCs w:val="24"/>
        </w:rPr>
        <w:t xml:space="preserve">EZ </w:t>
      </w:r>
      <w:r w:rsidR="00AA6E56">
        <w:rPr>
          <w:rFonts w:ascii="Palatino Linotype" w:hAnsi="Palatino Linotype"/>
          <w:b/>
          <w:sz w:val="24"/>
          <w:szCs w:val="24"/>
        </w:rPr>
        <w:t xml:space="preserve">EN EL RECURSO DE REVISIÓN </w:t>
      </w:r>
      <w:r w:rsidR="002A213D">
        <w:rPr>
          <w:rFonts w:ascii="Palatino Linotype" w:hAnsi="Palatino Linotype"/>
          <w:b/>
          <w:sz w:val="24"/>
          <w:szCs w:val="24"/>
        </w:rPr>
        <w:t>02955</w:t>
      </w:r>
      <w:r w:rsidRPr="00BB0BA5">
        <w:rPr>
          <w:rFonts w:ascii="Palatino Linotype" w:hAnsi="Palatino Linotype"/>
          <w:b/>
          <w:sz w:val="24"/>
          <w:szCs w:val="24"/>
        </w:rPr>
        <w:t>/INFOEM/IP/RR/</w:t>
      </w:r>
      <w:r w:rsidR="002A213D">
        <w:rPr>
          <w:rFonts w:ascii="Palatino Linotype" w:hAnsi="Palatino Linotype"/>
          <w:b/>
          <w:sz w:val="24"/>
          <w:szCs w:val="24"/>
        </w:rPr>
        <w:t>2018</w:t>
      </w:r>
      <w:r w:rsidR="00DF2A07">
        <w:rPr>
          <w:rFonts w:ascii="Palatino Linotype" w:hAnsi="Palatino Linotype"/>
          <w:b/>
          <w:sz w:val="24"/>
          <w:szCs w:val="24"/>
        </w:rPr>
        <w:t>.</w:t>
      </w:r>
    </w:p>
    <w:p w:rsidR="005A4FE3" w:rsidRDefault="005A4FE3" w:rsidP="005A4FE3">
      <w:pPr>
        <w:spacing w:line="360" w:lineRule="auto"/>
        <w:jc w:val="both"/>
        <w:rPr>
          <w:rFonts w:ascii="Palatino Linotype" w:hAnsi="Palatino Linotype"/>
          <w:sz w:val="24"/>
          <w:szCs w:val="24"/>
        </w:rPr>
      </w:pPr>
      <w:r w:rsidRPr="00BB0BA5">
        <w:rPr>
          <w:rFonts w:ascii="Palatino Linotype" w:hAnsi="Palatino Linotype"/>
          <w:b/>
          <w:sz w:val="24"/>
          <w:szCs w:val="24"/>
        </w:rPr>
        <w:t>Resumen de la opinión.</w:t>
      </w:r>
      <w:r w:rsidRPr="00BB0BA5">
        <w:rPr>
          <w:rFonts w:ascii="Palatino Linotype" w:hAnsi="Palatino Linotype"/>
          <w:sz w:val="24"/>
          <w:szCs w:val="24"/>
        </w:rPr>
        <w:t xml:space="preserve"> </w:t>
      </w:r>
      <w:r w:rsidR="008405EC">
        <w:rPr>
          <w:rFonts w:ascii="Palatino Linotype" w:hAnsi="Palatino Linotype"/>
          <w:sz w:val="24"/>
          <w:szCs w:val="24"/>
        </w:rPr>
        <w:t xml:space="preserve">Las resoluciones emitidas por el Instituto de Transparencia, Acceso a la Información Pública y Protección de Datos Personales del Estado de México deben emanar de un estudio exhaustivo y objetivo, debidamente fundado y motivado a efecto de otorgar plena certidumbre </w:t>
      </w:r>
      <w:r w:rsidR="00276744">
        <w:rPr>
          <w:rFonts w:ascii="Palatino Linotype" w:hAnsi="Palatino Linotype"/>
          <w:sz w:val="24"/>
          <w:szCs w:val="24"/>
        </w:rPr>
        <w:t xml:space="preserve">jurídica </w:t>
      </w:r>
      <w:r w:rsidR="008405EC">
        <w:rPr>
          <w:rFonts w:ascii="Palatino Linotype" w:hAnsi="Palatino Linotype"/>
          <w:sz w:val="24"/>
          <w:szCs w:val="24"/>
        </w:rPr>
        <w:t>a los particulares s</w:t>
      </w:r>
      <w:r w:rsidR="00276744">
        <w:rPr>
          <w:rFonts w:ascii="Palatino Linotype" w:hAnsi="Palatino Linotype"/>
          <w:sz w:val="24"/>
          <w:szCs w:val="24"/>
        </w:rPr>
        <w:t>obre las mismas.</w:t>
      </w:r>
    </w:p>
    <w:p w:rsidR="00BD49E0" w:rsidRPr="00BB0BA5" w:rsidRDefault="00BD49E0" w:rsidP="005A4FE3">
      <w:pPr>
        <w:spacing w:line="360" w:lineRule="auto"/>
        <w:jc w:val="both"/>
        <w:rPr>
          <w:rFonts w:ascii="Palatino Linotype" w:hAnsi="Palatino Linotype"/>
          <w:sz w:val="24"/>
          <w:szCs w:val="24"/>
        </w:rPr>
      </w:pPr>
    </w:p>
    <w:p w:rsidR="007C7C8A" w:rsidRPr="00BB0BA5" w:rsidRDefault="001305C0" w:rsidP="001305C0">
      <w:pPr>
        <w:pStyle w:val="TtulodeTDC"/>
        <w:spacing w:line="360" w:lineRule="auto"/>
        <w:rPr>
          <w:rFonts w:ascii="Palatino Linotype" w:hAnsi="Palatino Linotype" w:cs="Arial"/>
          <w:b/>
          <w:color w:val="auto"/>
          <w:sz w:val="24"/>
          <w:szCs w:val="24"/>
        </w:rPr>
      </w:pPr>
      <w:r w:rsidRPr="00BB0BA5">
        <w:rPr>
          <w:rFonts w:ascii="Palatino Linotype" w:hAnsi="Palatino Linotype" w:cs="Arial"/>
          <w:b/>
          <w:color w:val="auto"/>
          <w:sz w:val="24"/>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1B72BB" w:rsidRDefault="001305C0">
          <w:pPr>
            <w:pStyle w:val="TDC1"/>
            <w:rPr>
              <w:rFonts w:eastAsiaTheme="minorEastAsia"/>
              <w:noProof/>
              <w:lang w:eastAsia="es-MX"/>
            </w:rPr>
          </w:pPr>
          <w:r w:rsidRPr="00BB0BA5">
            <w:rPr>
              <w:rFonts w:ascii="Palatino Linotype" w:hAnsi="Palatino Linotype"/>
              <w:sz w:val="24"/>
              <w:szCs w:val="24"/>
            </w:rPr>
            <w:fldChar w:fldCharType="begin"/>
          </w:r>
          <w:r w:rsidRPr="00BB0BA5">
            <w:rPr>
              <w:rFonts w:ascii="Palatino Linotype" w:hAnsi="Palatino Linotype"/>
              <w:sz w:val="24"/>
              <w:szCs w:val="24"/>
            </w:rPr>
            <w:instrText xml:space="preserve"> TOC \o "1-3" \h \z \u </w:instrText>
          </w:r>
          <w:r w:rsidRPr="00BB0BA5">
            <w:rPr>
              <w:rFonts w:ascii="Palatino Linotype" w:hAnsi="Palatino Linotype"/>
              <w:sz w:val="24"/>
              <w:szCs w:val="24"/>
            </w:rPr>
            <w:fldChar w:fldCharType="separate"/>
          </w:r>
          <w:hyperlink w:anchor="_Toc521328141" w:history="1">
            <w:r w:rsidR="001B72BB" w:rsidRPr="008B4D93">
              <w:rPr>
                <w:rStyle w:val="Hipervnculo"/>
                <w:rFonts w:ascii="Palatino Linotype" w:hAnsi="Palatino Linotype"/>
                <w:b/>
                <w:noProof/>
              </w:rPr>
              <w:t>I. Consideraciones Generales</w:t>
            </w:r>
            <w:r w:rsidR="001B72BB">
              <w:rPr>
                <w:noProof/>
                <w:webHidden/>
              </w:rPr>
              <w:tab/>
            </w:r>
            <w:r w:rsidR="001B72BB">
              <w:rPr>
                <w:noProof/>
                <w:webHidden/>
              </w:rPr>
              <w:fldChar w:fldCharType="begin"/>
            </w:r>
            <w:r w:rsidR="001B72BB">
              <w:rPr>
                <w:noProof/>
                <w:webHidden/>
              </w:rPr>
              <w:instrText xml:space="preserve"> PAGEREF _Toc521328141 \h </w:instrText>
            </w:r>
            <w:r w:rsidR="001B72BB">
              <w:rPr>
                <w:noProof/>
                <w:webHidden/>
              </w:rPr>
            </w:r>
            <w:r w:rsidR="001B72BB">
              <w:rPr>
                <w:noProof/>
                <w:webHidden/>
              </w:rPr>
              <w:fldChar w:fldCharType="separate"/>
            </w:r>
            <w:r w:rsidR="00C1663E">
              <w:rPr>
                <w:noProof/>
                <w:webHidden/>
              </w:rPr>
              <w:t>1</w:t>
            </w:r>
            <w:r w:rsidR="001B72BB">
              <w:rPr>
                <w:noProof/>
                <w:webHidden/>
              </w:rPr>
              <w:fldChar w:fldCharType="end"/>
            </w:r>
          </w:hyperlink>
        </w:p>
        <w:p w:rsidR="001B72BB" w:rsidRDefault="00997060">
          <w:pPr>
            <w:pStyle w:val="TDC1"/>
            <w:rPr>
              <w:rFonts w:eastAsiaTheme="minorEastAsia"/>
              <w:noProof/>
              <w:lang w:eastAsia="es-MX"/>
            </w:rPr>
          </w:pPr>
          <w:hyperlink w:anchor="_Toc521328142" w:history="1">
            <w:r w:rsidR="001B72BB" w:rsidRPr="008B4D93">
              <w:rPr>
                <w:rStyle w:val="Hipervnculo"/>
                <w:rFonts w:ascii="Palatino Linotype" w:hAnsi="Palatino Linotype"/>
                <w:b/>
                <w:noProof/>
              </w:rPr>
              <w:t>II. Antecedentes que dieron origen a la presente Opinión Particular.</w:t>
            </w:r>
            <w:r w:rsidR="001B72BB">
              <w:rPr>
                <w:noProof/>
                <w:webHidden/>
              </w:rPr>
              <w:tab/>
            </w:r>
            <w:r w:rsidR="001B72BB">
              <w:rPr>
                <w:noProof/>
                <w:webHidden/>
              </w:rPr>
              <w:fldChar w:fldCharType="begin"/>
            </w:r>
            <w:r w:rsidR="001B72BB">
              <w:rPr>
                <w:noProof/>
                <w:webHidden/>
              </w:rPr>
              <w:instrText xml:space="preserve"> PAGEREF _Toc521328142 \h </w:instrText>
            </w:r>
            <w:r w:rsidR="001B72BB">
              <w:rPr>
                <w:noProof/>
                <w:webHidden/>
              </w:rPr>
            </w:r>
            <w:r w:rsidR="001B72BB">
              <w:rPr>
                <w:noProof/>
                <w:webHidden/>
              </w:rPr>
              <w:fldChar w:fldCharType="separate"/>
            </w:r>
            <w:r w:rsidR="00C1663E">
              <w:rPr>
                <w:noProof/>
                <w:webHidden/>
              </w:rPr>
              <w:t>2</w:t>
            </w:r>
            <w:r w:rsidR="001B72BB">
              <w:rPr>
                <w:noProof/>
                <w:webHidden/>
              </w:rPr>
              <w:fldChar w:fldCharType="end"/>
            </w:r>
          </w:hyperlink>
        </w:p>
        <w:p w:rsidR="001B72BB" w:rsidRDefault="00997060">
          <w:pPr>
            <w:pStyle w:val="TDC1"/>
            <w:rPr>
              <w:rFonts w:eastAsiaTheme="minorEastAsia"/>
              <w:noProof/>
              <w:lang w:eastAsia="es-MX"/>
            </w:rPr>
          </w:pPr>
          <w:hyperlink w:anchor="_Toc521328143" w:history="1">
            <w:r w:rsidR="001B72BB" w:rsidRPr="008B4D93">
              <w:rPr>
                <w:rStyle w:val="Hipervnculo"/>
                <w:rFonts w:ascii="Palatino Linotype" w:hAnsi="Palatino Linotype"/>
                <w:b/>
                <w:noProof/>
              </w:rPr>
              <w:t>III. La naturaleza de los oficios generados y recibidos por las áreas administrativas de los Sujetos Obligados</w:t>
            </w:r>
            <w:r w:rsidR="001B72BB">
              <w:rPr>
                <w:noProof/>
                <w:webHidden/>
              </w:rPr>
              <w:tab/>
            </w:r>
            <w:r w:rsidR="001B72BB">
              <w:rPr>
                <w:noProof/>
                <w:webHidden/>
              </w:rPr>
              <w:fldChar w:fldCharType="begin"/>
            </w:r>
            <w:r w:rsidR="001B72BB">
              <w:rPr>
                <w:noProof/>
                <w:webHidden/>
              </w:rPr>
              <w:instrText xml:space="preserve"> PAGEREF _Toc521328143 \h </w:instrText>
            </w:r>
            <w:r w:rsidR="001B72BB">
              <w:rPr>
                <w:noProof/>
                <w:webHidden/>
              </w:rPr>
            </w:r>
            <w:r w:rsidR="001B72BB">
              <w:rPr>
                <w:noProof/>
                <w:webHidden/>
              </w:rPr>
              <w:fldChar w:fldCharType="separate"/>
            </w:r>
            <w:r w:rsidR="00C1663E">
              <w:rPr>
                <w:noProof/>
                <w:webHidden/>
              </w:rPr>
              <w:t>4</w:t>
            </w:r>
            <w:r w:rsidR="001B72BB">
              <w:rPr>
                <w:noProof/>
                <w:webHidden/>
              </w:rPr>
              <w:fldChar w:fldCharType="end"/>
            </w:r>
          </w:hyperlink>
        </w:p>
        <w:p w:rsidR="001B72BB" w:rsidRDefault="00997060">
          <w:pPr>
            <w:pStyle w:val="TDC1"/>
            <w:rPr>
              <w:rFonts w:eastAsiaTheme="minorEastAsia"/>
              <w:noProof/>
              <w:lang w:eastAsia="es-MX"/>
            </w:rPr>
          </w:pPr>
          <w:hyperlink w:anchor="_Toc521328144" w:history="1">
            <w:r w:rsidR="001B72BB" w:rsidRPr="008B4D93">
              <w:rPr>
                <w:rStyle w:val="Hipervnculo"/>
                <w:rFonts w:ascii="Palatino Linotype" w:hAnsi="Palatino Linotype"/>
                <w:b/>
                <w:noProof/>
              </w:rPr>
              <w:t>IV. Conclusión</w:t>
            </w:r>
            <w:r w:rsidR="001B72BB">
              <w:rPr>
                <w:noProof/>
                <w:webHidden/>
              </w:rPr>
              <w:tab/>
            </w:r>
            <w:r w:rsidR="001B72BB">
              <w:rPr>
                <w:noProof/>
                <w:webHidden/>
              </w:rPr>
              <w:fldChar w:fldCharType="begin"/>
            </w:r>
            <w:r w:rsidR="001B72BB">
              <w:rPr>
                <w:noProof/>
                <w:webHidden/>
              </w:rPr>
              <w:instrText xml:space="preserve"> PAGEREF _Toc521328144 \h </w:instrText>
            </w:r>
            <w:r w:rsidR="001B72BB">
              <w:rPr>
                <w:noProof/>
                <w:webHidden/>
              </w:rPr>
            </w:r>
            <w:r w:rsidR="001B72BB">
              <w:rPr>
                <w:noProof/>
                <w:webHidden/>
              </w:rPr>
              <w:fldChar w:fldCharType="separate"/>
            </w:r>
            <w:r w:rsidR="00C1663E">
              <w:rPr>
                <w:noProof/>
                <w:webHidden/>
              </w:rPr>
              <w:t>12</w:t>
            </w:r>
            <w:r w:rsidR="001B72BB">
              <w:rPr>
                <w:noProof/>
                <w:webHidden/>
              </w:rPr>
              <w:fldChar w:fldCharType="end"/>
            </w:r>
          </w:hyperlink>
        </w:p>
        <w:p w:rsidR="001305C0" w:rsidRPr="00BB0BA5" w:rsidRDefault="001305C0" w:rsidP="001305C0">
          <w:pPr>
            <w:spacing w:line="360" w:lineRule="auto"/>
            <w:rPr>
              <w:rFonts w:ascii="Palatino Linotype" w:hAnsi="Palatino Linotype"/>
              <w:sz w:val="24"/>
              <w:szCs w:val="24"/>
            </w:rPr>
          </w:pPr>
          <w:r w:rsidRPr="00BB0BA5">
            <w:rPr>
              <w:rFonts w:ascii="Palatino Linotype" w:hAnsi="Palatino Linotype"/>
              <w:b/>
              <w:bCs/>
              <w:sz w:val="24"/>
              <w:szCs w:val="24"/>
              <w:lang w:val="es-ES"/>
            </w:rPr>
            <w:fldChar w:fldCharType="end"/>
          </w:r>
        </w:p>
      </w:sdtContent>
    </w:sdt>
    <w:p w:rsidR="00B35DFF" w:rsidRPr="00BB0BA5" w:rsidRDefault="001B72BB" w:rsidP="001B72BB">
      <w:pPr>
        <w:pStyle w:val="Ttulo1"/>
        <w:rPr>
          <w:rFonts w:ascii="Palatino Linotype" w:hAnsi="Palatino Linotype"/>
          <w:b/>
          <w:color w:val="auto"/>
          <w:sz w:val="24"/>
        </w:rPr>
      </w:pPr>
      <w:bookmarkStart w:id="0" w:name="_Toc521328141"/>
      <w:r>
        <w:rPr>
          <w:rFonts w:ascii="Palatino Linotype" w:hAnsi="Palatino Linotype"/>
          <w:b/>
          <w:color w:val="auto"/>
          <w:sz w:val="24"/>
        </w:rPr>
        <w:t xml:space="preserve">I. </w:t>
      </w:r>
      <w:r w:rsidR="00B35DFF" w:rsidRPr="00BB0BA5">
        <w:rPr>
          <w:rFonts w:ascii="Palatino Linotype" w:hAnsi="Palatino Linotype"/>
          <w:b/>
          <w:color w:val="auto"/>
          <w:sz w:val="24"/>
        </w:rPr>
        <w:t>Consideraciones Generales</w:t>
      </w:r>
      <w:bookmarkEnd w:id="0"/>
    </w:p>
    <w:p w:rsidR="00B35DFF" w:rsidRPr="00BB0BA5" w:rsidRDefault="00B35DFF" w:rsidP="00B35DFF">
      <w:pPr>
        <w:pStyle w:val="Prrafodelista"/>
        <w:spacing w:line="360" w:lineRule="auto"/>
        <w:ind w:left="1080"/>
        <w:jc w:val="both"/>
        <w:rPr>
          <w:rFonts w:ascii="Palatino Linotype" w:hAnsi="Palatino Linotype"/>
          <w:sz w:val="24"/>
          <w:szCs w:val="24"/>
        </w:rPr>
      </w:pPr>
    </w:p>
    <w:p w:rsidR="00B35DFF" w:rsidRPr="00BB0BA5"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He concurrido con mi opinión particular de la presente resolución emitida por el Pleno del Instituto de Transparencia, Acceso a la Información Pública y Protección de Datos Personales del Estado</w:t>
      </w:r>
      <w:r w:rsidR="00312935">
        <w:rPr>
          <w:rFonts w:ascii="Palatino Linotype" w:hAnsi="Palatino Linotype"/>
          <w:sz w:val="24"/>
          <w:szCs w:val="24"/>
        </w:rPr>
        <w:t xml:space="preserve"> de México y Municipios, en su </w:t>
      </w:r>
      <w:r w:rsidR="002A213D">
        <w:rPr>
          <w:rFonts w:ascii="Palatino Linotype" w:hAnsi="Palatino Linotype"/>
          <w:sz w:val="24"/>
          <w:szCs w:val="24"/>
        </w:rPr>
        <w:lastRenderedPageBreak/>
        <w:t>Trigésimo</w:t>
      </w:r>
      <w:r w:rsidR="00835513">
        <w:rPr>
          <w:rFonts w:ascii="Palatino Linotype" w:hAnsi="Palatino Linotype"/>
          <w:sz w:val="24"/>
          <w:szCs w:val="24"/>
        </w:rPr>
        <w:t xml:space="preserve"> </w:t>
      </w:r>
      <w:r w:rsidR="0020160E">
        <w:rPr>
          <w:rFonts w:ascii="Palatino Linotype" w:hAnsi="Palatino Linotype"/>
          <w:sz w:val="24"/>
          <w:szCs w:val="24"/>
        </w:rPr>
        <w:t>Séptima</w:t>
      </w:r>
      <w:r w:rsidRPr="00BB0BA5">
        <w:rPr>
          <w:rFonts w:ascii="Palatino Linotype" w:hAnsi="Palatino Linotype"/>
          <w:sz w:val="24"/>
          <w:szCs w:val="24"/>
        </w:rPr>
        <w:t xml:space="preserve"> Sesión Ordinaria celebrada en fecha </w:t>
      </w:r>
      <w:r w:rsidR="002A213D">
        <w:rPr>
          <w:rFonts w:ascii="Palatino Linotype" w:hAnsi="Palatino Linotype"/>
          <w:sz w:val="24"/>
          <w:szCs w:val="24"/>
        </w:rPr>
        <w:t>diez</w:t>
      </w:r>
      <w:r w:rsidRPr="00BB0BA5">
        <w:rPr>
          <w:rFonts w:ascii="Palatino Linotype" w:hAnsi="Palatino Linotype"/>
          <w:sz w:val="24"/>
          <w:szCs w:val="24"/>
        </w:rPr>
        <w:t xml:space="preserve"> (</w:t>
      </w:r>
      <w:r w:rsidR="002A213D">
        <w:rPr>
          <w:rFonts w:ascii="Palatino Linotype" w:hAnsi="Palatino Linotype"/>
          <w:sz w:val="24"/>
          <w:szCs w:val="24"/>
        </w:rPr>
        <w:t>10</w:t>
      </w:r>
      <w:r w:rsidRPr="00BB0BA5">
        <w:rPr>
          <w:rFonts w:ascii="Palatino Linotype" w:hAnsi="Palatino Linotype"/>
          <w:sz w:val="24"/>
          <w:szCs w:val="24"/>
        </w:rPr>
        <w:t xml:space="preserve">) de </w:t>
      </w:r>
      <w:r w:rsidR="002A213D">
        <w:rPr>
          <w:rFonts w:ascii="Palatino Linotype" w:hAnsi="Palatino Linotype"/>
          <w:sz w:val="24"/>
          <w:szCs w:val="24"/>
        </w:rPr>
        <w:t>octubre</w:t>
      </w:r>
      <w:r w:rsidR="005B1F0E">
        <w:rPr>
          <w:rFonts w:ascii="Palatino Linotype" w:hAnsi="Palatino Linotype"/>
          <w:sz w:val="24"/>
          <w:szCs w:val="24"/>
        </w:rPr>
        <w:t xml:space="preserve"> de dos mil dieciocho</w:t>
      </w:r>
      <w:r w:rsidRPr="00BB0BA5">
        <w:rPr>
          <w:rFonts w:ascii="Palatino Linotype" w:hAnsi="Palatino Linotype"/>
          <w:sz w:val="24"/>
          <w:szCs w:val="24"/>
        </w:rPr>
        <w:t xml:space="preserve"> promovido por </w:t>
      </w:r>
      <w:r w:rsidR="002A213D">
        <w:rPr>
          <w:rFonts w:ascii="Palatino Linotype" w:hAnsi="Palatino Linotype"/>
          <w:sz w:val="24"/>
          <w:szCs w:val="24"/>
        </w:rPr>
        <w:t>“</w:t>
      </w:r>
      <w:r w:rsidR="002A213D">
        <w:rPr>
          <w:rFonts w:ascii="Palatino Linotype" w:hAnsi="Palatino Linotype"/>
          <w:b/>
          <w:sz w:val="24"/>
          <w:szCs w:val="24"/>
        </w:rPr>
        <w:t>. . .</w:t>
      </w:r>
      <w:r w:rsidR="002A213D">
        <w:rPr>
          <w:rFonts w:ascii="Palatino Linotype" w:hAnsi="Palatino Linotype"/>
          <w:sz w:val="24"/>
          <w:szCs w:val="24"/>
        </w:rPr>
        <w:t>”</w:t>
      </w:r>
      <w:r w:rsidR="007E4DC7">
        <w:rPr>
          <w:rFonts w:ascii="Palatino Linotype" w:hAnsi="Palatino Linotype"/>
          <w:sz w:val="24"/>
          <w:szCs w:val="24"/>
        </w:rPr>
        <w:t xml:space="preserve"> en contra de la respuesta de</w:t>
      </w:r>
      <w:r w:rsidR="002A213D">
        <w:rPr>
          <w:rFonts w:ascii="Palatino Linotype" w:hAnsi="Palatino Linotype"/>
          <w:sz w:val="24"/>
          <w:szCs w:val="24"/>
        </w:rPr>
        <w:t xml:space="preserve">l </w:t>
      </w:r>
      <w:r w:rsidR="002A213D">
        <w:rPr>
          <w:rFonts w:ascii="Palatino Linotype" w:hAnsi="Palatino Linotype"/>
          <w:b/>
          <w:sz w:val="24"/>
          <w:szCs w:val="24"/>
        </w:rPr>
        <w:t>Secretariado Ejecutivo del Sistema Estatal de Seguridad Pública</w:t>
      </w:r>
      <w:r w:rsidR="0020160E">
        <w:rPr>
          <w:rFonts w:ascii="Palatino Linotype" w:hAnsi="Palatino Linotype"/>
          <w:b/>
          <w:sz w:val="24"/>
          <w:szCs w:val="24"/>
        </w:rPr>
        <w:t>,</w:t>
      </w:r>
      <w:r w:rsidR="007E4DC7">
        <w:rPr>
          <w:rFonts w:ascii="Palatino Linotype" w:hAnsi="Palatino Linotype"/>
          <w:b/>
          <w:sz w:val="24"/>
          <w:szCs w:val="24"/>
        </w:rPr>
        <w:t xml:space="preserve"> </w:t>
      </w:r>
      <w:r w:rsidRPr="00BB0BA5">
        <w:rPr>
          <w:rFonts w:ascii="Palatino Linotype" w:hAnsi="Palatino Linotype"/>
          <w:sz w:val="24"/>
          <w:szCs w:val="24"/>
        </w:rPr>
        <w:t>procedimiento a</w:t>
      </w:r>
      <w:r w:rsidR="0020160E">
        <w:rPr>
          <w:rFonts w:ascii="Palatino Linotype" w:hAnsi="Palatino Linotype"/>
          <w:sz w:val="24"/>
          <w:szCs w:val="24"/>
        </w:rPr>
        <w:t>l</w:t>
      </w:r>
      <w:r w:rsidR="0022628C">
        <w:rPr>
          <w:rFonts w:ascii="Palatino Linotype" w:hAnsi="Palatino Linotype"/>
          <w:sz w:val="24"/>
          <w:szCs w:val="24"/>
        </w:rPr>
        <w:t xml:space="preserve"> </w:t>
      </w:r>
      <w:r w:rsidRPr="00BB0BA5">
        <w:rPr>
          <w:rFonts w:ascii="Palatino Linotype" w:hAnsi="Palatino Linotype"/>
          <w:sz w:val="24"/>
          <w:szCs w:val="24"/>
        </w:rPr>
        <w:t>que se le asig</w:t>
      </w:r>
      <w:r w:rsidR="005B1F0E">
        <w:rPr>
          <w:rFonts w:ascii="Palatino Linotype" w:hAnsi="Palatino Linotype"/>
          <w:sz w:val="24"/>
          <w:szCs w:val="24"/>
        </w:rPr>
        <w:t xml:space="preserve">nó </w:t>
      </w:r>
      <w:r w:rsidR="0020160E">
        <w:rPr>
          <w:rFonts w:ascii="Palatino Linotype" w:hAnsi="Palatino Linotype"/>
          <w:sz w:val="24"/>
          <w:szCs w:val="24"/>
        </w:rPr>
        <w:t>el</w:t>
      </w:r>
      <w:r w:rsidRPr="00BB0BA5">
        <w:rPr>
          <w:rFonts w:ascii="Palatino Linotype" w:hAnsi="Palatino Linotype"/>
          <w:sz w:val="24"/>
          <w:szCs w:val="24"/>
        </w:rPr>
        <w:t xml:space="preserve"> número de expediente </w:t>
      </w:r>
      <w:r w:rsidR="002A213D">
        <w:rPr>
          <w:rFonts w:ascii="Palatino Linotype" w:hAnsi="Palatino Linotype"/>
          <w:b/>
          <w:sz w:val="24"/>
          <w:szCs w:val="24"/>
        </w:rPr>
        <w:t>02955</w:t>
      </w:r>
      <w:r w:rsidRPr="00BB0BA5">
        <w:rPr>
          <w:rFonts w:ascii="Palatino Linotype" w:hAnsi="Palatino Linotype"/>
          <w:b/>
          <w:sz w:val="24"/>
          <w:szCs w:val="24"/>
        </w:rPr>
        <w:t>/INFOEM/IP/RR/</w:t>
      </w:r>
      <w:r w:rsidR="0020160E">
        <w:rPr>
          <w:rFonts w:ascii="Palatino Linotype" w:hAnsi="Palatino Linotype"/>
          <w:b/>
          <w:sz w:val="24"/>
          <w:szCs w:val="24"/>
        </w:rPr>
        <w:t>2018</w:t>
      </w:r>
      <w:r w:rsidR="0022628C">
        <w:rPr>
          <w:rFonts w:ascii="Palatino Linotype" w:hAnsi="Palatino Linotype"/>
          <w:b/>
          <w:sz w:val="24"/>
          <w:szCs w:val="24"/>
        </w:rPr>
        <w:t>.</w:t>
      </w:r>
    </w:p>
    <w:p w:rsidR="00B35DFF" w:rsidRPr="00BB0BA5" w:rsidRDefault="00B35DFF" w:rsidP="00B35DFF">
      <w:pPr>
        <w:pStyle w:val="Prrafodelista"/>
        <w:spacing w:line="360" w:lineRule="auto"/>
        <w:ind w:left="360"/>
        <w:jc w:val="both"/>
        <w:rPr>
          <w:rFonts w:ascii="Palatino Linotype" w:hAnsi="Palatino Linotype"/>
          <w:sz w:val="24"/>
          <w:szCs w:val="24"/>
        </w:rPr>
      </w:pPr>
    </w:p>
    <w:p w:rsidR="00B35DFF" w:rsidRDefault="00B35DFF" w:rsidP="005B1F0E">
      <w:pPr>
        <w:pStyle w:val="Prrafodelista"/>
        <w:numPr>
          <w:ilvl w:val="0"/>
          <w:numId w:val="8"/>
        </w:numPr>
        <w:spacing w:line="360" w:lineRule="auto"/>
        <w:jc w:val="both"/>
        <w:rPr>
          <w:rFonts w:ascii="Palatino Linotype" w:hAnsi="Palatino Linotype"/>
          <w:sz w:val="24"/>
          <w:szCs w:val="24"/>
        </w:rPr>
      </w:pPr>
      <w:r w:rsidRPr="00835513">
        <w:rPr>
          <w:rFonts w:ascii="Palatino Linotype" w:hAnsi="Palatino Linotype"/>
          <w:sz w:val="24"/>
          <w:szCs w:val="24"/>
        </w:rPr>
        <w:t>La resolución puntualmente determina</w:t>
      </w:r>
      <w:r w:rsidR="005B1F0E">
        <w:rPr>
          <w:rFonts w:ascii="Palatino Linotype" w:hAnsi="Palatino Linotype"/>
          <w:sz w:val="24"/>
          <w:szCs w:val="24"/>
        </w:rPr>
        <w:t xml:space="preserve"> </w:t>
      </w:r>
      <w:r w:rsidR="002A213D">
        <w:rPr>
          <w:rFonts w:ascii="Palatino Linotype" w:hAnsi="Palatino Linotype"/>
          <w:b/>
          <w:sz w:val="24"/>
          <w:szCs w:val="24"/>
        </w:rPr>
        <w:t>MODIFICAR</w:t>
      </w:r>
      <w:r w:rsidR="005B1F0E">
        <w:rPr>
          <w:rFonts w:ascii="Palatino Linotype" w:hAnsi="Palatino Linotype"/>
          <w:b/>
          <w:sz w:val="24"/>
          <w:szCs w:val="24"/>
        </w:rPr>
        <w:t xml:space="preserve"> </w:t>
      </w:r>
      <w:r w:rsidR="0020160E">
        <w:rPr>
          <w:rFonts w:ascii="Palatino Linotype" w:hAnsi="Palatino Linotype"/>
          <w:sz w:val="24"/>
          <w:szCs w:val="24"/>
        </w:rPr>
        <w:t xml:space="preserve">el recurso de resolución en los términos del </w:t>
      </w:r>
      <w:r w:rsidR="002A213D">
        <w:rPr>
          <w:rFonts w:ascii="Palatino Linotype" w:hAnsi="Palatino Linotype"/>
          <w:sz w:val="24"/>
          <w:szCs w:val="24"/>
        </w:rPr>
        <w:t>C</w:t>
      </w:r>
      <w:r w:rsidR="0020160E">
        <w:rPr>
          <w:rFonts w:ascii="Palatino Linotype" w:hAnsi="Palatino Linotype"/>
          <w:sz w:val="24"/>
          <w:szCs w:val="24"/>
        </w:rPr>
        <w:t>onsiderando QUINTO de la misma.</w:t>
      </w:r>
    </w:p>
    <w:p w:rsidR="0020160E" w:rsidRPr="005B1F0E" w:rsidRDefault="0020160E" w:rsidP="0020160E">
      <w:pPr>
        <w:pStyle w:val="Prrafodelista"/>
        <w:spacing w:line="360" w:lineRule="auto"/>
        <w:ind w:left="360"/>
        <w:jc w:val="both"/>
        <w:rPr>
          <w:rFonts w:ascii="Palatino Linotype" w:hAnsi="Palatino Linotype"/>
          <w:sz w:val="24"/>
          <w:szCs w:val="24"/>
        </w:rPr>
      </w:pPr>
    </w:p>
    <w:p w:rsidR="001B72BB" w:rsidRPr="001B72BB" w:rsidRDefault="00B35DFF" w:rsidP="001B72BB">
      <w:pPr>
        <w:pStyle w:val="Prrafodelista"/>
        <w:numPr>
          <w:ilvl w:val="0"/>
          <w:numId w:val="8"/>
        </w:numPr>
        <w:spacing w:line="360" w:lineRule="auto"/>
        <w:jc w:val="both"/>
        <w:rPr>
          <w:rFonts w:ascii="Palatino Linotype" w:hAnsi="Palatino Linotype"/>
          <w:sz w:val="24"/>
          <w:szCs w:val="24"/>
        </w:rPr>
      </w:pPr>
      <w:r w:rsidRPr="001B72BB">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w:t>
      </w:r>
      <w:r w:rsidR="002A213D">
        <w:rPr>
          <w:rFonts w:ascii="Palatino Linotype" w:hAnsi="Palatino Linotype"/>
          <w:sz w:val="24"/>
          <w:szCs w:val="24"/>
        </w:rPr>
        <w:t>,</w:t>
      </w:r>
      <w:r w:rsidRPr="001B72BB">
        <w:rPr>
          <w:rFonts w:ascii="Palatino Linotype" w:hAnsi="Palatino Linotype"/>
          <w:sz w:val="24"/>
          <w:szCs w:val="24"/>
        </w:rPr>
        <w:t xml:space="preserve"> formulo la presente opinión particular.</w:t>
      </w:r>
    </w:p>
    <w:p w:rsidR="001B72BB" w:rsidRDefault="001B72BB" w:rsidP="001B72BB">
      <w:pPr>
        <w:pStyle w:val="Ttulo1"/>
        <w:rPr>
          <w:rFonts w:ascii="Palatino Linotype" w:hAnsi="Palatino Linotype"/>
          <w:b/>
          <w:color w:val="auto"/>
          <w:sz w:val="24"/>
        </w:rPr>
      </w:pPr>
      <w:bookmarkStart w:id="1" w:name="_Toc521328142"/>
      <w:r w:rsidRPr="001B72BB">
        <w:rPr>
          <w:rFonts w:ascii="Palatino Linotype" w:hAnsi="Palatino Linotype"/>
          <w:b/>
          <w:color w:val="auto"/>
          <w:sz w:val="24"/>
        </w:rPr>
        <w:t>II. Antecedentes que dieron origen a la presente Opinión Particular.</w:t>
      </w:r>
      <w:bookmarkEnd w:id="1"/>
    </w:p>
    <w:p w:rsidR="001B72BB" w:rsidRPr="001B72BB" w:rsidRDefault="001B72BB" w:rsidP="001B72BB"/>
    <w:p w:rsidR="001B72BB" w:rsidRDefault="00DB4391" w:rsidP="001B72BB">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E</w:t>
      </w:r>
      <w:r w:rsidR="00E5683A">
        <w:rPr>
          <w:rFonts w:ascii="Palatino Linotype" w:hAnsi="Palatino Linotype"/>
          <w:sz w:val="24"/>
          <w:szCs w:val="24"/>
        </w:rPr>
        <w:t>l treinta (30)</w:t>
      </w:r>
      <w:r w:rsidR="001B72BB">
        <w:rPr>
          <w:rFonts w:ascii="Palatino Linotype" w:hAnsi="Palatino Linotype"/>
          <w:sz w:val="24"/>
          <w:szCs w:val="24"/>
        </w:rPr>
        <w:t xml:space="preserve"> de </w:t>
      </w:r>
      <w:r w:rsidR="00E5683A">
        <w:rPr>
          <w:rFonts w:ascii="Palatino Linotype" w:hAnsi="Palatino Linotype"/>
          <w:sz w:val="24"/>
          <w:szCs w:val="24"/>
        </w:rPr>
        <w:t>julio</w:t>
      </w:r>
      <w:r w:rsidR="001B72BB">
        <w:rPr>
          <w:rFonts w:ascii="Palatino Linotype" w:hAnsi="Palatino Linotype"/>
          <w:sz w:val="24"/>
          <w:szCs w:val="24"/>
        </w:rPr>
        <w:t xml:space="preserve"> de dos mil dieciocho, </w:t>
      </w:r>
      <w:r w:rsidR="00E5683A">
        <w:rPr>
          <w:rFonts w:ascii="Palatino Linotype" w:hAnsi="Palatino Linotype"/>
          <w:sz w:val="24"/>
          <w:szCs w:val="24"/>
        </w:rPr>
        <w:t>el</w:t>
      </w:r>
      <w:r w:rsidR="001B72BB">
        <w:rPr>
          <w:rFonts w:ascii="Palatino Linotype" w:hAnsi="Palatino Linotype"/>
          <w:sz w:val="24"/>
          <w:szCs w:val="24"/>
        </w:rPr>
        <w:t xml:space="preserve"> </w:t>
      </w:r>
      <w:r w:rsidR="001B72BB">
        <w:rPr>
          <w:rFonts w:ascii="Palatino Linotype" w:hAnsi="Palatino Linotype"/>
          <w:b/>
          <w:sz w:val="24"/>
          <w:szCs w:val="24"/>
        </w:rPr>
        <w:t>RECURRENTE</w:t>
      </w:r>
      <w:r w:rsidR="001B72BB">
        <w:rPr>
          <w:rFonts w:ascii="Palatino Linotype" w:hAnsi="Palatino Linotype"/>
          <w:sz w:val="24"/>
          <w:szCs w:val="24"/>
        </w:rPr>
        <w:t xml:space="preserve"> solicitó mediante la solicitud de información </w:t>
      </w:r>
      <w:r w:rsidR="00E5683A">
        <w:rPr>
          <w:rFonts w:ascii="Palatino Linotype" w:hAnsi="Palatino Linotype"/>
          <w:b/>
          <w:sz w:val="24"/>
          <w:szCs w:val="24"/>
        </w:rPr>
        <w:t>00042</w:t>
      </w:r>
      <w:r w:rsidR="001B72BB" w:rsidRPr="001B72BB">
        <w:rPr>
          <w:rFonts w:ascii="Palatino Linotype" w:hAnsi="Palatino Linotype"/>
          <w:b/>
          <w:sz w:val="24"/>
          <w:szCs w:val="24"/>
        </w:rPr>
        <w:t>/</w:t>
      </w:r>
      <w:r w:rsidR="00E5683A">
        <w:rPr>
          <w:rFonts w:ascii="Palatino Linotype" w:hAnsi="Palatino Linotype"/>
          <w:b/>
          <w:sz w:val="24"/>
          <w:szCs w:val="24"/>
        </w:rPr>
        <w:t>SESESP</w:t>
      </w:r>
      <w:r w:rsidR="001B72BB" w:rsidRPr="001B72BB">
        <w:rPr>
          <w:rFonts w:ascii="Palatino Linotype" w:hAnsi="Palatino Linotype"/>
          <w:b/>
          <w:sz w:val="24"/>
          <w:szCs w:val="24"/>
        </w:rPr>
        <w:t>/IP/2018</w:t>
      </w:r>
      <w:r w:rsidR="001B72BB">
        <w:rPr>
          <w:rFonts w:ascii="Palatino Linotype" w:hAnsi="Palatino Linotype"/>
          <w:sz w:val="24"/>
          <w:szCs w:val="24"/>
        </w:rPr>
        <w:t xml:space="preserve"> lo siguiente:</w:t>
      </w:r>
    </w:p>
    <w:p w:rsidR="001B72BB" w:rsidRDefault="001B72BB" w:rsidP="001B72BB">
      <w:pPr>
        <w:pStyle w:val="Sinespaciado"/>
        <w:ind w:left="567" w:right="851"/>
        <w:jc w:val="both"/>
        <w:rPr>
          <w:rFonts w:ascii="Palatino Linotype" w:hAnsi="Palatino Linotype"/>
        </w:rPr>
      </w:pPr>
      <w:r w:rsidRPr="001B72BB">
        <w:rPr>
          <w:rFonts w:ascii="Palatino Linotype" w:hAnsi="Palatino Linotype"/>
          <w:i/>
        </w:rPr>
        <w:t>“</w:t>
      </w:r>
      <w:r w:rsidR="00E5683A" w:rsidRPr="005214B1">
        <w:rPr>
          <w:rFonts w:ascii="Palatino Linotype" w:eastAsia="Times New Roman" w:hAnsi="Palatino Linotype" w:cs="Times New Roman"/>
          <w:i/>
          <w:lang w:eastAsia="es-ES"/>
        </w:rPr>
        <w:t xml:space="preserve">SE SOLICITA QUE EL SUJETO OBLIGADO SECRETARIADO EJECUTIVO DEL SISTEMA ESTATAL DE SEGURIDAD PUBLICA INFORME Y PRESENTE LA DOCUMENTACIÓN SOBRE EL RESULTADO DE LAS EVALUACIONES DE CONTROL DE CONFIANZA DE </w:t>
      </w:r>
      <w:r w:rsidR="00220DA8" w:rsidRPr="00220DA8">
        <w:rPr>
          <w:rFonts w:ascii="Palatino Linotype" w:eastAsia="Times New Roman" w:hAnsi="Palatino Linotype" w:cs="Times New Roman"/>
          <w:i/>
          <w:highlight w:val="black"/>
          <w:lang w:eastAsia="es-ES"/>
        </w:rPr>
        <w:t>------------------------</w:t>
      </w:r>
      <w:r w:rsidR="00E5683A" w:rsidRPr="00220DA8">
        <w:rPr>
          <w:rFonts w:ascii="Palatino Linotype" w:eastAsia="Times New Roman" w:hAnsi="Palatino Linotype" w:cs="Times New Roman"/>
          <w:i/>
          <w:highlight w:val="black"/>
          <w:lang w:eastAsia="es-ES"/>
        </w:rPr>
        <w:t xml:space="preserve"> </w:t>
      </w:r>
      <w:r w:rsidR="00220DA8" w:rsidRPr="00220DA8">
        <w:rPr>
          <w:rFonts w:ascii="Palatino Linotype" w:eastAsia="Times New Roman" w:hAnsi="Palatino Linotype" w:cs="Times New Roman"/>
          <w:i/>
          <w:highlight w:val="black"/>
          <w:lang w:eastAsia="es-ES"/>
        </w:rPr>
        <w:t>------------------------------------</w:t>
      </w:r>
      <w:r w:rsidR="00E5683A" w:rsidRPr="005214B1">
        <w:rPr>
          <w:rFonts w:ascii="Palatino Linotype" w:eastAsia="Times New Roman" w:hAnsi="Palatino Linotype" w:cs="Times New Roman"/>
          <w:i/>
          <w:lang w:eastAsia="es-ES"/>
        </w:rPr>
        <w:t xml:space="preserve"> SI EL RESULTADO FUE NO APROBADO SE INFORME EL POR QUE NO SE LE A INICIADO EL PROCEDIMIENTO DE BAJA CORRESPONDIENTE O RESCISIÓN DE CONTRATO CONFORME LO ESTABLECIDO EN LAS LEYES DE SEGURIDAD DEL ESTADO DE MEXICO Y EN LAS LEYES Y REGLAMENTOS DE LA MATERIA Y LA FECHA EN QUE </w:t>
      </w:r>
      <w:r w:rsidR="00E5683A" w:rsidRPr="005214B1">
        <w:rPr>
          <w:rFonts w:ascii="Palatino Linotype" w:eastAsia="Times New Roman" w:hAnsi="Palatino Linotype" w:cs="Times New Roman"/>
          <w:i/>
          <w:lang w:eastAsia="es-ES"/>
        </w:rPr>
        <w:lastRenderedPageBreak/>
        <w:t xml:space="preserve">FUERON NOTIFICADOS AL SUJETO OBLIGADO LOS RESULTADOS DE LA EVALUACION DE CONTROL DE CONFIANZA POR PARTE DEL CENTRO DE CONTROL DE CONFIANZA POR ESO EL SUJETO OBLIGADO TIENE EN SU PODER EL OFICIO DE NOTIFICACION Y NO PUEDE DECIR O ALUDIR QUE SE LE PREGUNTE AL CENTRO DE CONTROL DE CONFIANZA PORQUE YA TIENE EN SU PODER EL RESULTADO Y EL POR QUE SE LE HA PROTEGIDO Y NO SE LE HA INICIADO PROCEDIMIENTO DE BAJA O RESCISION DE CONTRATO COMO AL PERSONAL QUE NO A ACREDITADO LOS EXAMENES DE CONTROL DE CONFIANZA TAMVIEN SE SOLICITA SE INFORME A QUE SE DEBEN LOS BENEFICIOS QUE </w:t>
      </w:r>
      <w:r w:rsidR="00220DA8" w:rsidRPr="00220DA8">
        <w:rPr>
          <w:rFonts w:ascii="Palatino Linotype" w:eastAsia="Times New Roman" w:hAnsi="Palatino Linotype" w:cs="Times New Roman"/>
          <w:i/>
          <w:highlight w:val="black"/>
          <w:lang w:eastAsia="es-ES"/>
        </w:rPr>
        <w:t>--------------------------------------------------------------</w:t>
      </w:r>
      <w:r w:rsidR="00E5683A" w:rsidRPr="005214B1">
        <w:rPr>
          <w:rFonts w:ascii="Palatino Linotype" w:eastAsia="Times New Roman" w:hAnsi="Palatino Linotype" w:cs="Times New Roman"/>
          <w:i/>
          <w:lang w:eastAsia="es-ES"/>
        </w:rPr>
        <w:t xml:space="preserve"> ES ACREEDORA EN SUS SALIDAS TEMPRANO Y SUS BONOS Y PRIMAS DOMINICALES DESDE EL 2015 HASTA EL 2017 Y SE EXPLIQUE LA RELACION AFECTIVA QUE TIENE CON EL DIRECTOR GENERAL DEL CENTRO DE INFORMACION Y ESTADISTICA DEL SECRETARIADO EJECUTIVO DEL SISTEMA ESTATAL DE SEGURIDAD PUBLICA Y EL SECRETARIO EJECUTIVO DEL SISTEMA ESTATAL DE SEGURIDAD PUBLICA PARA TENER ESTOS BENEFICIOS Y QUE LA PROTEJAN DE NO DARLA DE BAJAN POR NO APROBAR CONTROL DE CONFIANZA Y SE SOLICITA QUE SE PROPORCIONE LA VERSION PUBLICA DE LOS DOCUMENTOS QUE SE PIDEN</w:t>
      </w:r>
      <w:r>
        <w:rPr>
          <w:rFonts w:ascii="Palatino Linotype" w:hAnsi="Palatino Linotype"/>
          <w:i/>
        </w:rPr>
        <w:t>”</w:t>
      </w:r>
      <w:r>
        <w:rPr>
          <w:rFonts w:ascii="Palatino Linotype" w:hAnsi="Palatino Linotype"/>
        </w:rPr>
        <w:t xml:space="preserve"> (Sic).</w:t>
      </w:r>
    </w:p>
    <w:p w:rsidR="001B72BB" w:rsidRDefault="001B72BB" w:rsidP="001B72BB">
      <w:pPr>
        <w:pStyle w:val="Prrafodelista"/>
        <w:spacing w:line="360" w:lineRule="auto"/>
        <w:ind w:left="360"/>
        <w:jc w:val="both"/>
        <w:rPr>
          <w:rFonts w:ascii="Palatino Linotype" w:hAnsi="Palatino Linotype"/>
          <w:sz w:val="24"/>
          <w:szCs w:val="24"/>
        </w:rPr>
      </w:pPr>
    </w:p>
    <w:p w:rsidR="00D644F8" w:rsidRPr="00D24523" w:rsidRDefault="00D644F8" w:rsidP="00D644F8">
      <w:pPr>
        <w:pStyle w:val="Prrafodelista"/>
        <w:numPr>
          <w:ilvl w:val="0"/>
          <w:numId w:val="8"/>
        </w:numPr>
        <w:spacing w:line="360" w:lineRule="auto"/>
        <w:jc w:val="both"/>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por medio de</w:t>
      </w:r>
      <w:r w:rsidR="00604120">
        <w:rPr>
          <w:rFonts w:ascii="Palatino Linotype" w:hAnsi="Palatino Linotype"/>
          <w:sz w:val="24"/>
          <w:szCs w:val="24"/>
        </w:rPr>
        <w:t>l oficio SESESPEM/UT/091/2018, de veinte (20) de agosto de dos mil dieciocho, dio</w:t>
      </w:r>
      <w:r>
        <w:rPr>
          <w:rFonts w:ascii="Palatino Linotype" w:hAnsi="Palatino Linotype"/>
          <w:sz w:val="24"/>
          <w:szCs w:val="24"/>
        </w:rPr>
        <w:t xml:space="preserve"> respuesta a la solicitud de información</w:t>
      </w:r>
      <w:r w:rsidR="00604120">
        <w:rPr>
          <w:rFonts w:ascii="Palatino Linotype" w:hAnsi="Palatino Linotype"/>
          <w:sz w:val="24"/>
          <w:szCs w:val="24"/>
        </w:rPr>
        <w:t xml:space="preserve"> manifestando</w:t>
      </w:r>
      <w:r>
        <w:rPr>
          <w:rFonts w:ascii="Palatino Linotype" w:hAnsi="Palatino Linotype"/>
          <w:sz w:val="24"/>
          <w:szCs w:val="24"/>
        </w:rPr>
        <w:t xml:space="preserve"> </w:t>
      </w:r>
      <w:r w:rsidR="00D24523">
        <w:rPr>
          <w:rFonts w:ascii="Palatino Linotype" w:hAnsi="Palatino Linotype"/>
          <w:sz w:val="24"/>
          <w:szCs w:val="24"/>
        </w:rPr>
        <w:t>lo siguiente:</w:t>
      </w:r>
    </w:p>
    <w:p w:rsidR="00D24523" w:rsidRDefault="00D24523" w:rsidP="00D24523">
      <w:pPr>
        <w:pStyle w:val="Sinespaciado"/>
        <w:ind w:left="851" w:right="567"/>
        <w:jc w:val="both"/>
        <w:rPr>
          <w:rFonts w:ascii="Palatino Linotype" w:hAnsi="Palatino Linotype"/>
          <w:i/>
        </w:rPr>
      </w:pPr>
      <w:r w:rsidRPr="00D24523">
        <w:rPr>
          <w:rFonts w:ascii="Palatino Linotype" w:hAnsi="Palatino Linotype"/>
          <w:i/>
        </w:rPr>
        <w:t>“</w:t>
      </w:r>
      <w:r w:rsidR="00604120">
        <w:rPr>
          <w:rFonts w:ascii="Palatino Linotype" w:hAnsi="Palatino Linotype"/>
          <w:i/>
        </w:rPr>
        <w:t>(…)</w:t>
      </w:r>
    </w:p>
    <w:p w:rsidR="00604120" w:rsidRDefault="00472D6F" w:rsidP="00D24523">
      <w:pPr>
        <w:pStyle w:val="Sinespaciado"/>
        <w:ind w:left="851" w:right="567"/>
        <w:jc w:val="both"/>
        <w:rPr>
          <w:rFonts w:ascii="Palatino Linotype" w:hAnsi="Palatino Linotype"/>
          <w:i/>
        </w:rPr>
      </w:pPr>
      <w:r>
        <w:rPr>
          <w:rFonts w:ascii="Palatino Linotype" w:hAnsi="Palatino Linotype"/>
          <w:i/>
        </w:rPr>
        <w:t>H</w:t>
      </w:r>
      <w:r w:rsidR="00604120">
        <w:rPr>
          <w:rFonts w:ascii="Palatino Linotype" w:hAnsi="Palatino Linotype"/>
          <w:i/>
        </w:rPr>
        <w:t>ago de su atento conocimiento que la información que nos solicita se encuentra clasificada como confidencial, por lo que éste Sujeto Obligado está en imposibilidad de proporcionarle la misma, ya que el hacerlo traería aparejado un incumplimiento a los ordenamientos legales en cita</w:t>
      </w:r>
      <w:r>
        <w:rPr>
          <w:rFonts w:ascii="Palatino Linotype" w:hAnsi="Palatino Linotype"/>
          <w:i/>
        </w:rPr>
        <w:t xml:space="preserve">, en ese orden de ideas, adjunto al presente se servirá encontrar el Acta de la Cuarta Sesión Extraordinaria del comité de Transparencia de éste sujeto Obligado de fecha 17 de agosto de los corrientes, de la cual se derivó el acuerdo </w:t>
      </w:r>
      <w:r>
        <w:rPr>
          <w:rFonts w:ascii="Palatino Linotype" w:hAnsi="Palatino Linotype"/>
          <w:b/>
          <w:i/>
        </w:rPr>
        <w:t>SESESP/CT/EXT/0013/2018</w:t>
      </w:r>
      <w:r>
        <w:rPr>
          <w:rFonts w:ascii="Palatino Linotype" w:hAnsi="Palatino Linotype"/>
          <w:i/>
        </w:rPr>
        <w:t xml:space="preserve">, aprobando por unanimidad de votos del cual </w:t>
      </w:r>
      <w:r>
        <w:rPr>
          <w:rFonts w:ascii="Palatino Linotype" w:hAnsi="Palatino Linotype"/>
          <w:i/>
        </w:rPr>
        <w:lastRenderedPageBreak/>
        <w:t xml:space="preserve">se advierte la clasificación como confidencial de los resultados de las evaluaciones de control de confianza de la C. </w:t>
      </w:r>
      <w:r w:rsidR="00220DA8" w:rsidRPr="00220DA8">
        <w:rPr>
          <w:rFonts w:ascii="Palatino Linotype" w:hAnsi="Palatino Linotype"/>
          <w:i/>
          <w:highlight w:val="black"/>
        </w:rPr>
        <w:t>---------------------------------------------</w:t>
      </w:r>
      <w:r>
        <w:rPr>
          <w:rFonts w:ascii="Palatino Linotype" w:hAnsi="Palatino Linotype"/>
          <w:i/>
        </w:rPr>
        <w:t>.</w:t>
      </w:r>
    </w:p>
    <w:p w:rsidR="00472D6F" w:rsidRPr="00472D6F" w:rsidRDefault="00472D6F" w:rsidP="00D24523">
      <w:pPr>
        <w:pStyle w:val="Sinespaciado"/>
        <w:ind w:left="851" w:right="567"/>
        <w:jc w:val="both"/>
        <w:rPr>
          <w:rFonts w:ascii="Palatino Linotype" w:hAnsi="Palatino Linotype"/>
          <w:i/>
        </w:rPr>
      </w:pPr>
      <w:r>
        <w:rPr>
          <w:rFonts w:ascii="Palatino Linotype" w:hAnsi="Palatino Linotype"/>
          <w:i/>
        </w:rPr>
        <w:t>(…)”</w:t>
      </w:r>
    </w:p>
    <w:p w:rsidR="00D24523" w:rsidRDefault="00D24523" w:rsidP="00D24523">
      <w:pPr>
        <w:pStyle w:val="Prrafodelista"/>
        <w:spacing w:line="360" w:lineRule="auto"/>
        <w:ind w:left="360"/>
        <w:jc w:val="both"/>
        <w:rPr>
          <w:rFonts w:ascii="Palatino Linotype" w:hAnsi="Palatino Linotype"/>
          <w:sz w:val="24"/>
          <w:szCs w:val="24"/>
        </w:rPr>
      </w:pPr>
    </w:p>
    <w:p w:rsidR="00D24523" w:rsidRPr="00D24523" w:rsidRDefault="00D24523" w:rsidP="00D644F8">
      <w:pPr>
        <w:pStyle w:val="Prrafodelista"/>
        <w:numPr>
          <w:ilvl w:val="0"/>
          <w:numId w:val="8"/>
        </w:numPr>
        <w:spacing w:line="360" w:lineRule="auto"/>
        <w:jc w:val="both"/>
      </w:pPr>
      <w:r>
        <w:rPr>
          <w:rFonts w:ascii="Palatino Linotype" w:hAnsi="Palatino Linotype"/>
          <w:sz w:val="24"/>
          <w:szCs w:val="24"/>
        </w:rPr>
        <w:t xml:space="preserve">Derivado de lo anterior, la </w:t>
      </w:r>
      <w:r>
        <w:rPr>
          <w:rFonts w:ascii="Palatino Linotype" w:hAnsi="Palatino Linotype"/>
          <w:b/>
          <w:sz w:val="24"/>
          <w:szCs w:val="24"/>
        </w:rPr>
        <w:t>RECURRENTE</w:t>
      </w:r>
      <w:r>
        <w:rPr>
          <w:rFonts w:ascii="Palatino Linotype" w:hAnsi="Palatino Linotype"/>
          <w:sz w:val="24"/>
          <w:szCs w:val="24"/>
        </w:rPr>
        <w:t xml:space="preserve"> promovió el recurso de revisión </w:t>
      </w:r>
      <w:r w:rsidR="00472D6F">
        <w:rPr>
          <w:rFonts w:ascii="Palatino Linotype" w:hAnsi="Palatino Linotype"/>
          <w:b/>
          <w:sz w:val="24"/>
          <w:szCs w:val="24"/>
        </w:rPr>
        <w:t>02955</w:t>
      </w:r>
      <w:r>
        <w:rPr>
          <w:rFonts w:ascii="Palatino Linotype" w:hAnsi="Palatino Linotype"/>
          <w:b/>
          <w:sz w:val="24"/>
          <w:szCs w:val="24"/>
        </w:rPr>
        <w:t>/</w:t>
      </w:r>
      <w:r w:rsidR="00472D6F">
        <w:rPr>
          <w:rFonts w:ascii="Palatino Linotype" w:hAnsi="Palatino Linotype"/>
          <w:b/>
          <w:sz w:val="24"/>
          <w:szCs w:val="24"/>
        </w:rPr>
        <w:t>INFOEM</w:t>
      </w:r>
      <w:r>
        <w:rPr>
          <w:rFonts w:ascii="Palatino Linotype" w:hAnsi="Palatino Linotype"/>
          <w:b/>
          <w:sz w:val="24"/>
          <w:szCs w:val="24"/>
        </w:rPr>
        <w:t>/IP/RR/2018</w:t>
      </w:r>
      <w:r>
        <w:rPr>
          <w:rFonts w:ascii="Palatino Linotype" w:hAnsi="Palatino Linotype"/>
          <w:sz w:val="24"/>
          <w:szCs w:val="24"/>
        </w:rPr>
        <w:t xml:space="preserve">, doliéndose e inconformándose en </w:t>
      </w:r>
      <w:r w:rsidR="00472D6F">
        <w:rPr>
          <w:rFonts w:ascii="Palatino Linotype" w:hAnsi="Palatino Linotype"/>
          <w:sz w:val="24"/>
          <w:szCs w:val="24"/>
        </w:rPr>
        <w:t xml:space="preserve">atención a que el </w:t>
      </w:r>
      <w:r w:rsidR="00472D6F">
        <w:rPr>
          <w:rFonts w:ascii="Palatino Linotype" w:hAnsi="Palatino Linotype"/>
          <w:b/>
          <w:sz w:val="24"/>
          <w:szCs w:val="24"/>
        </w:rPr>
        <w:t>SUJETO OBLIGADO</w:t>
      </w:r>
      <w:r w:rsidR="00472D6F">
        <w:rPr>
          <w:rFonts w:ascii="Palatino Linotype" w:hAnsi="Palatino Linotype"/>
          <w:sz w:val="24"/>
          <w:szCs w:val="24"/>
        </w:rPr>
        <w:t xml:space="preserve"> no proporcionó la información solicitada.</w:t>
      </w:r>
    </w:p>
    <w:p w:rsidR="00D24523" w:rsidRPr="00D24523" w:rsidRDefault="00D24523" w:rsidP="00D24523">
      <w:pPr>
        <w:pStyle w:val="Prrafodelista"/>
        <w:spacing w:line="360" w:lineRule="auto"/>
        <w:ind w:left="360"/>
        <w:jc w:val="both"/>
      </w:pPr>
    </w:p>
    <w:p w:rsidR="00D24523" w:rsidRPr="004759E5" w:rsidRDefault="004759E5" w:rsidP="00D644F8">
      <w:pPr>
        <w:pStyle w:val="Prrafodelista"/>
        <w:numPr>
          <w:ilvl w:val="0"/>
          <w:numId w:val="8"/>
        </w:numPr>
        <w:spacing w:line="360" w:lineRule="auto"/>
        <w:jc w:val="both"/>
        <w:rPr>
          <w:rFonts w:ascii="Palatino Linotype" w:hAnsi="Palatino Linotype"/>
        </w:rPr>
      </w:pPr>
      <w:r w:rsidRPr="004759E5">
        <w:rPr>
          <w:rFonts w:ascii="Palatino Linotype" w:hAnsi="Palatino Linotype"/>
        </w:rPr>
        <w:t>Así, una vez analizado el contenido de la respuesta</w:t>
      </w:r>
      <w:r w:rsidR="00472D6F">
        <w:rPr>
          <w:rFonts w:ascii="Palatino Linotype" w:hAnsi="Palatino Linotype"/>
        </w:rPr>
        <w:t xml:space="preserve"> emitida por el </w:t>
      </w:r>
      <w:r w:rsidR="00472D6F">
        <w:rPr>
          <w:rFonts w:ascii="Palatino Linotype" w:hAnsi="Palatino Linotype"/>
          <w:b/>
        </w:rPr>
        <w:t>SUJETO OBLIGADO</w:t>
      </w:r>
      <w:r w:rsidR="00472D6F">
        <w:rPr>
          <w:rFonts w:ascii="Palatino Linotype" w:hAnsi="Palatino Linotype"/>
        </w:rPr>
        <w:t>, junto con los documentos remitidos a través de correo electrónico como alcance</w:t>
      </w:r>
      <w:r w:rsidRPr="004759E5">
        <w:rPr>
          <w:rFonts w:ascii="Palatino Linotype" w:hAnsi="Palatino Linotype"/>
        </w:rPr>
        <w:t xml:space="preserve">, la Ponencia </w:t>
      </w:r>
      <w:proofErr w:type="spellStart"/>
      <w:r w:rsidRPr="004759E5">
        <w:rPr>
          <w:rFonts w:ascii="Palatino Linotype" w:hAnsi="Palatino Linotype"/>
        </w:rPr>
        <w:t>Resolutora</w:t>
      </w:r>
      <w:proofErr w:type="spellEnd"/>
      <w:r w:rsidR="00472D6F">
        <w:rPr>
          <w:rFonts w:ascii="Palatino Linotype" w:hAnsi="Palatino Linotype"/>
        </w:rPr>
        <w:t xml:space="preserve"> determinó </w:t>
      </w:r>
      <w:r w:rsidR="00472D6F">
        <w:rPr>
          <w:rFonts w:ascii="Palatino Linotype" w:hAnsi="Palatino Linotype"/>
          <w:b/>
        </w:rPr>
        <w:t>MODIFICAR</w:t>
      </w:r>
      <w:r w:rsidR="00472D6F">
        <w:rPr>
          <w:rFonts w:ascii="Palatino Linotype" w:hAnsi="Palatino Linotype"/>
        </w:rPr>
        <w:t xml:space="preserve"> la respuesta proporcionada a la solicitud </w:t>
      </w:r>
      <w:r w:rsidR="00472D6F">
        <w:rPr>
          <w:rFonts w:ascii="Palatino Linotype" w:hAnsi="Palatino Linotype"/>
          <w:b/>
        </w:rPr>
        <w:t>00042/SESESP/IP/2018</w:t>
      </w:r>
      <w:r w:rsidR="00472D6F">
        <w:rPr>
          <w:rFonts w:ascii="Palatino Linotype" w:hAnsi="Palatino Linotype"/>
        </w:rPr>
        <w:t xml:space="preserve">, ordenando entregar a través del Sistema de Información Mexiquense (SAIMEX) el Acuerdo de Clasificación de la Información relativa a los resultados de las evaluaciones del Centro de Control y Confianza practicadas a la persona referida por el </w:t>
      </w:r>
      <w:r w:rsidR="00472D6F">
        <w:rPr>
          <w:rFonts w:ascii="Palatino Linotype" w:hAnsi="Palatino Linotype"/>
          <w:b/>
        </w:rPr>
        <w:t>RECURRENTE</w:t>
      </w:r>
      <w:r w:rsidR="00472D6F">
        <w:rPr>
          <w:rFonts w:ascii="Palatino Linotype" w:hAnsi="Palatino Linotype"/>
        </w:rPr>
        <w:t>.</w:t>
      </w:r>
    </w:p>
    <w:p w:rsidR="00B35DFF" w:rsidRPr="00835513" w:rsidRDefault="001B72BB" w:rsidP="004759E5">
      <w:pPr>
        <w:pStyle w:val="Ttulo1"/>
        <w:jc w:val="both"/>
        <w:rPr>
          <w:rFonts w:ascii="Palatino Linotype" w:hAnsi="Palatino Linotype"/>
          <w:b/>
          <w:color w:val="auto"/>
          <w:sz w:val="24"/>
        </w:rPr>
      </w:pPr>
      <w:bookmarkStart w:id="2" w:name="_Toc521328143"/>
      <w:r>
        <w:rPr>
          <w:rFonts w:ascii="Palatino Linotype" w:hAnsi="Palatino Linotype"/>
          <w:b/>
          <w:color w:val="auto"/>
          <w:sz w:val="24"/>
        </w:rPr>
        <w:t xml:space="preserve">III. </w:t>
      </w:r>
      <w:r w:rsidRPr="00930B05">
        <w:rPr>
          <w:rFonts w:ascii="Palatino Linotype" w:hAnsi="Palatino Linotype"/>
          <w:b/>
          <w:color w:val="auto"/>
          <w:sz w:val="24"/>
        </w:rPr>
        <w:t>L</w:t>
      </w:r>
      <w:r w:rsidR="001A2574" w:rsidRPr="00930B05">
        <w:rPr>
          <w:rFonts w:ascii="Palatino Linotype" w:hAnsi="Palatino Linotype"/>
          <w:b/>
          <w:color w:val="auto"/>
          <w:sz w:val="24"/>
        </w:rPr>
        <w:t xml:space="preserve">a </w:t>
      </w:r>
      <w:bookmarkEnd w:id="2"/>
      <w:r w:rsidR="00930B05">
        <w:rPr>
          <w:rFonts w:ascii="Palatino Linotype" w:hAnsi="Palatino Linotype"/>
          <w:b/>
          <w:color w:val="auto"/>
          <w:sz w:val="24"/>
        </w:rPr>
        <w:t>necesidad de guardar congruencia dentro del estudio de las resoluciones del Instituto de Transparencia, Acceso a la Información Pública y Protección de Datos Personales del Estado de México y Municipios.</w:t>
      </w:r>
    </w:p>
    <w:p w:rsidR="00B35DFF" w:rsidRPr="00BB0BA5" w:rsidRDefault="00B35DFF" w:rsidP="00B35DFF">
      <w:pPr>
        <w:pStyle w:val="Prrafodelista"/>
        <w:spacing w:line="360" w:lineRule="auto"/>
        <w:ind w:left="1080"/>
        <w:jc w:val="both"/>
        <w:rPr>
          <w:rFonts w:ascii="Palatino Linotype" w:hAnsi="Palatino Linotype"/>
          <w:b/>
          <w:sz w:val="24"/>
          <w:szCs w:val="24"/>
        </w:rPr>
      </w:pPr>
    </w:p>
    <w:p w:rsidR="001A2574" w:rsidRDefault="00B35DFF" w:rsidP="001A2574">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Mi opinión particular se deriva de un hecho de especial importa</w:t>
      </w:r>
      <w:r w:rsidR="00930B05">
        <w:rPr>
          <w:rFonts w:ascii="Palatino Linotype" w:hAnsi="Palatino Linotype"/>
          <w:sz w:val="24"/>
          <w:szCs w:val="24"/>
        </w:rPr>
        <w:t xml:space="preserve">ncia: El estudio que realizamos dentro de las resoluciones recaídas a los recursos de revisión promovidos ante este Instituto debe estar debidamente fundado y motivado, toda vez que nosotros, como máximos representantes del Órgano Garante, </w:t>
      </w:r>
      <w:r w:rsidR="00930B05">
        <w:rPr>
          <w:rFonts w:ascii="Palatino Linotype" w:hAnsi="Palatino Linotype"/>
          <w:sz w:val="24"/>
          <w:szCs w:val="24"/>
        </w:rPr>
        <w:lastRenderedPageBreak/>
        <w:t>otorgamos certidumbre y protegemos el derecho de acceso a la información pública de los particulares, esencialmente, a través de nuestras resoluciones.</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930B05"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Bajo ésta premisa, debo enfatizar que la resolución que atendió al recurso de revisión </w:t>
      </w:r>
      <w:r>
        <w:rPr>
          <w:rFonts w:ascii="Palatino Linotype" w:hAnsi="Palatino Linotype"/>
          <w:b/>
          <w:sz w:val="24"/>
          <w:szCs w:val="24"/>
        </w:rPr>
        <w:t>02955/INFOEM/IP/RR/2018</w:t>
      </w:r>
      <w:r>
        <w:rPr>
          <w:rFonts w:ascii="Palatino Linotype" w:hAnsi="Palatino Linotype"/>
          <w:sz w:val="24"/>
          <w:szCs w:val="24"/>
        </w:rPr>
        <w:t xml:space="preserve">, </w:t>
      </w:r>
      <w:r w:rsidR="00E175A5">
        <w:rPr>
          <w:rFonts w:ascii="Palatino Linotype" w:hAnsi="Palatino Linotype"/>
          <w:sz w:val="24"/>
          <w:szCs w:val="24"/>
        </w:rPr>
        <w:t xml:space="preserve">fundó de manera incorrecta la fuente obligacional del </w:t>
      </w:r>
      <w:r w:rsidR="00E175A5">
        <w:rPr>
          <w:rFonts w:ascii="Palatino Linotype" w:hAnsi="Palatino Linotype"/>
          <w:b/>
          <w:sz w:val="24"/>
          <w:szCs w:val="24"/>
        </w:rPr>
        <w:t>SUJETO OBLIGADO</w:t>
      </w:r>
      <w:r w:rsidR="00E175A5">
        <w:rPr>
          <w:rFonts w:ascii="Palatino Linotype" w:hAnsi="Palatino Linotype"/>
          <w:sz w:val="24"/>
          <w:szCs w:val="24"/>
        </w:rPr>
        <w:t xml:space="preserve"> para realizar un Acuerdo de Clasificación de la Información debidamente fundado y motivado en atención a lo siguiente:</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E175A5"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xml:space="preserve">, a pesar de no haber rendido un Informe Justificado dentro del término concedido para hacerlo, remitió el diecinueve (19) de septiembre de dos mil dieciocho un alcance vía correo electrónico a la Ponencia </w:t>
      </w:r>
      <w:proofErr w:type="spellStart"/>
      <w:r>
        <w:rPr>
          <w:rFonts w:ascii="Palatino Linotype" w:hAnsi="Palatino Linotype"/>
          <w:sz w:val="24"/>
          <w:szCs w:val="24"/>
        </w:rPr>
        <w:t>Resolutora</w:t>
      </w:r>
      <w:proofErr w:type="spellEnd"/>
      <w:r>
        <w:rPr>
          <w:rFonts w:ascii="Palatino Linotype" w:hAnsi="Palatino Linotype"/>
          <w:sz w:val="24"/>
          <w:szCs w:val="24"/>
        </w:rPr>
        <w:t>, adjuntando un archivo en formato PDF que contenía el “Anexo del Acta de la Cuarta Sesión Extraordinaria del Comité de Transparencia del Secretariado Ejecutivo del Sistema Estatal de seguridad Pública del Estado de México”.</w:t>
      </w:r>
    </w:p>
    <w:p w:rsidR="00930B05" w:rsidRDefault="00930B05" w:rsidP="00930B05">
      <w:pPr>
        <w:pStyle w:val="Prrafodelista"/>
        <w:spacing w:line="360" w:lineRule="auto"/>
        <w:ind w:left="360"/>
        <w:jc w:val="both"/>
        <w:rPr>
          <w:rFonts w:ascii="Palatino Linotype" w:hAnsi="Palatino Linotype"/>
          <w:sz w:val="24"/>
          <w:szCs w:val="24"/>
        </w:rPr>
      </w:pPr>
    </w:p>
    <w:p w:rsidR="00C1663E" w:rsidRDefault="00E175A5" w:rsidP="0027674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El Acta de Sesión Extraordinaria, </w:t>
      </w:r>
      <w:r w:rsidR="00B0294F">
        <w:rPr>
          <w:rFonts w:ascii="Palatino Linotype" w:hAnsi="Palatino Linotype"/>
          <w:sz w:val="24"/>
          <w:szCs w:val="24"/>
        </w:rPr>
        <w:t xml:space="preserve">determinó por medio </w:t>
      </w:r>
      <w:r>
        <w:rPr>
          <w:rFonts w:ascii="Palatino Linotype" w:hAnsi="Palatino Linotype"/>
          <w:sz w:val="24"/>
          <w:szCs w:val="24"/>
        </w:rPr>
        <w:t xml:space="preserve">del apartado de Considerandos, que la información solicitada a través de la solicitud de información </w:t>
      </w:r>
      <w:r w:rsidRPr="00E175A5">
        <w:rPr>
          <w:rFonts w:ascii="Palatino Linotype" w:hAnsi="Palatino Linotype"/>
          <w:b/>
          <w:sz w:val="24"/>
          <w:szCs w:val="24"/>
        </w:rPr>
        <w:t>00042/SESESP/IP/2018</w:t>
      </w:r>
      <w:r>
        <w:rPr>
          <w:rFonts w:ascii="Palatino Linotype" w:hAnsi="Palatino Linotype"/>
          <w:sz w:val="24"/>
          <w:szCs w:val="24"/>
        </w:rPr>
        <w:t xml:space="preserve">, no se podía entregar al entonces </w:t>
      </w:r>
      <w:r>
        <w:rPr>
          <w:rFonts w:ascii="Palatino Linotype" w:hAnsi="Palatino Linotype"/>
          <w:b/>
          <w:sz w:val="24"/>
          <w:szCs w:val="24"/>
        </w:rPr>
        <w:t>SOLICITANTE</w:t>
      </w:r>
      <w:r>
        <w:rPr>
          <w:rFonts w:ascii="Palatino Linotype" w:hAnsi="Palatino Linotype"/>
          <w:sz w:val="24"/>
          <w:szCs w:val="24"/>
        </w:rPr>
        <w:t xml:space="preserve"> ya que encuadraba en el marco jurídico de información confidencial</w:t>
      </w:r>
      <w:r w:rsidR="00B0294F">
        <w:rPr>
          <w:rFonts w:ascii="Palatino Linotype" w:hAnsi="Palatino Linotype"/>
          <w:sz w:val="24"/>
          <w:szCs w:val="24"/>
        </w:rPr>
        <w:t xml:space="preserve"> de conformidad con</w:t>
      </w:r>
      <w:r>
        <w:rPr>
          <w:rFonts w:ascii="Palatino Linotype" w:hAnsi="Palatino Linotype"/>
          <w:sz w:val="24"/>
          <w:szCs w:val="24"/>
        </w:rPr>
        <w:t xml:space="preserve"> los artículos 23, 25 fracción II, 27 párrafo primero, 100 apartado B inciso m) y 123 párrafo segundo de la Ley de Seguridad </w:t>
      </w:r>
      <w:r>
        <w:rPr>
          <w:rFonts w:ascii="Palatino Linotype" w:hAnsi="Palatino Linotype"/>
          <w:sz w:val="24"/>
          <w:szCs w:val="24"/>
        </w:rPr>
        <w:lastRenderedPageBreak/>
        <w:t xml:space="preserve">del Estado de México, </w:t>
      </w:r>
      <w:r w:rsidR="00B0294F">
        <w:rPr>
          <w:rFonts w:ascii="Palatino Linotype" w:hAnsi="Palatino Linotype"/>
          <w:sz w:val="24"/>
          <w:szCs w:val="24"/>
        </w:rPr>
        <w:t xml:space="preserve">mismos que </w:t>
      </w:r>
      <w:r w:rsidR="002B33C6">
        <w:rPr>
          <w:rFonts w:ascii="Palatino Linotype" w:hAnsi="Palatino Linotype"/>
          <w:sz w:val="24"/>
          <w:szCs w:val="24"/>
        </w:rPr>
        <w:t xml:space="preserve">de conformidad con las transcripciones mostradas en el documento </w:t>
      </w:r>
      <w:r w:rsidR="00B0294F">
        <w:rPr>
          <w:rFonts w:ascii="Palatino Linotype" w:hAnsi="Palatino Linotype"/>
          <w:sz w:val="24"/>
          <w:szCs w:val="24"/>
        </w:rPr>
        <w:t>manifiestan lo siguiente:</w:t>
      </w:r>
    </w:p>
    <w:p w:rsidR="00276744" w:rsidRDefault="00276744" w:rsidP="00C1663E">
      <w:pPr>
        <w:pStyle w:val="Prrafodelista"/>
        <w:spacing w:line="360" w:lineRule="auto"/>
        <w:ind w:left="360"/>
        <w:jc w:val="center"/>
        <w:rPr>
          <w:rFonts w:ascii="Palatino Linotype" w:hAnsi="Palatino Linotype"/>
          <w:sz w:val="24"/>
          <w:szCs w:val="24"/>
        </w:rPr>
      </w:pPr>
    </w:p>
    <w:p w:rsidR="00276744" w:rsidRDefault="00220DA8" w:rsidP="00276744">
      <w:pPr>
        <w:pStyle w:val="Prrafodelista"/>
        <w:spacing w:line="360" w:lineRule="auto"/>
        <w:ind w:left="360"/>
        <w:jc w:val="both"/>
        <w:rPr>
          <w:rFonts w:ascii="Palatino Linotype" w:hAnsi="Palatino Linotype"/>
          <w:sz w:val="24"/>
          <w:szCs w:val="24"/>
        </w:rPr>
      </w:pPr>
      <w:r w:rsidRPr="00220DA8">
        <w:rPr>
          <w:rFonts w:ascii="Palatino Linotype" w:hAnsi="Palatino Linotype"/>
          <w:noProof/>
          <w:sz w:val="24"/>
          <w:szCs w:val="24"/>
          <w:lang w:eastAsia="es-MX"/>
        </w:rPr>
        <w:drawing>
          <wp:inline distT="0" distB="0" distL="0" distR="0">
            <wp:extent cx="4721290" cy="569753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079" cy="5700900"/>
                    </a:xfrm>
                    <a:prstGeom prst="rect">
                      <a:avLst/>
                    </a:prstGeom>
                    <a:noFill/>
                    <a:ln>
                      <a:noFill/>
                    </a:ln>
                  </pic:spPr>
                </pic:pic>
              </a:graphicData>
            </a:graphic>
          </wp:inline>
        </w:drawing>
      </w:r>
    </w:p>
    <w:p w:rsidR="00930B05" w:rsidRPr="00276744" w:rsidRDefault="002930FB" w:rsidP="00C1663E">
      <w:pPr>
        <w:pStyle w:val="Prrafodelista"/>
        <w:spacing w:line="360" w:lineRule="auto"/>
        <w:ind w:left="360"/>
        <w:jc w:val="center"/>
        <w:rPr>
          <w:rFonts w:ascii="Palatino Linotype" w:hAnsi="Palatino Linotype"/>
          <w:sz w:val="24"/>
          <w:szCs w:val="24"/>
        </w:rPr>
      </w:pPr>
      <w:r>
        <w:rPr>
          <w:noProof/>
          <w:lang w:eastAsia="es-MX"/>
        </w:rPr>
        <w:lastRenderedPageBreak/>
        <w:drawing>
          <wp:inline distT="0" distB="0" distL="0" distR="0">
            <wp:extent cx="4698876" cy="5893357"/>
            <wp:effectExtent l="57150" t="57150" r="121285" b="107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1579" cy="590929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56F58" w:rsidRDefault="00B56F58" w:rsidP="00B56F58">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En relación a los artículos mencionados por el </w:t>
      </w:r>
      <w:r>
        <w:rPr>
          <w:rFonts w:ascii="Palatino Linotype" w:hAnsi="Palatino Linotype"/>
          <w:b/>
          <w:sz w:val="24"/>
          <w:szCs w:val="24"/>
        </w:rPr>
        <w:t>SUJETO OBLIGADO</w:t>
      </w:r>
      <w:r>
        <w:rPr>
          <w:rFonts w:ascii="Palatino Linotype" w:hAnsi="Palatino Linotype"/>
          <w:sz w:val="24"/>
          <w:szCs w:val="24"/>
        </w:rPr>
        <w:t xml:space="preserve">, he de manifestar primeramente que, si bien su contenido no resulta ser erróneo, lo </w:t>
      </w:r>
      <w:r>
        <w:rPr>
          <w:rFonts w:ascii="Palatino Linotype" w:hAnsi="Palatino Linotype"/>
          <w:sz w:val="24"/>
          <w:szCs w:val="24"/>
        </w:rPr>
        <w:lastRenderedPageBreak/>
        <w:t xml:space="preserve">cierto es que algunos preceptos no se hallan dentro de los numerales expuestos en el documento, por lo que se ofrece la transcripción literal de los numerales de la Ley de Seguridad del Estado de México que se relacionan con los expuesto por el </w:t>
      </w:r>
      <w:r>
        <w:rPr>
          <w:rFonts w:ascii="Palatino Linotype" w:hAnsi="Palatino Linotype"/>
          <w:b/>
          <w:sz w:val="24"/>
          <w:szCs w:val="24"/>
        </w:rPr>
        <w:t>SUJETO OBLIGADO</w:t>
      </w:r>
      <w:r>
        <w:rPr>
          <w:rFonts w:ascii="Palatino Linotype" w:hAnsi="Palatino Linotype"/>
          <w:sz w:val="24"/>
          <w:szCs w:val="24"/>
        </w:rPr>
        <w:t xml:space="preserve"> dentro del Acta de la Cuarta Sesión Extraordinaria de su Comité de Transparencia.</w:t>
      </w:r>
    </w:p>
    <w:p w:rsidR="002B33C6" w:rsidRDefault="002B33C6" w:rsidP="002B33C6">
      <w:pPr>
        <w:pStyle w:val="Sinespaciado"/>
        <w:ind w:left="851" w:right="567"/>
        <w:jc w:val="center"/>
        <w:rPr>
          <w:b/>
          <w:i/>
          <w:u w:val="single"/>
        </w:rPr>
      </w:pPr>
      <w:r w:rsidRPr="002B33C6">
        <w:rPr>
          <w:b/>
          <w:i/>
          <w:u w:val="single"/>
        </w:rPr>
        <w:t>Ley de Seguridad del Estado de México</w:t>
      </w:r>
    </w:p>
    <w:p w:rsidR="002B33C6" w:rsidRPr="002B33C6" w:rsidRDefault="002B33C6" w:rsidP="002B33C6">
      <w:pPr>
        <w:pStyle w:val="Sinespaciado"/>
        <w:ind w:left="851" w:right="567"/>
        <w:jc w:val="center"/>
        <w:rPr>
          <w:b/>
          <w:i/>
          <w:u w:val="single"/>
        </w:rPr>
      </w:pPr>
    </w:p>
    <w:p w:rsidR="00B0294F" w:rsidRDefault="002B33C6" w:rsidP="002B33C6">
      <w:pPr>
        <w:pStyle w:val="Sinespaciado"/>
        <w:ind w:left="851" w:right="567"/>
        <w:jc w:val="both"/>
        <w:rPr>
          <w:i/>
        </w:rPr>
      </w:pPr>
      <w:r>
        <w:rPr>
          <w:i/>
        </w:rPr>
        <w:t>“</w:t>
      </w:r>
      <w:r w:rsidR="00B0294F" w:rsidRPr="002B33C6">
        <w:rPr>
          <w:b/>
          <w:i/>
        </w:rPr>
        <w:t>Artículo 23.-</w:t>
      </w:r>
      <w:r w:rsidR="00B0294F" w:rsidRPr="002B33C6">
        <w:rPr>
          <w:i/>
        </w:rPr>
        <w:t xml:space="preserve"> El Sistema Estatal contará, para su funcionamiento y operación, con las instancias, instrumentos, políticas y servicios previstos en la presente Ley, encaminados a cumplir los fines de la seguridad pública.</w:t>
      </w:r>
    </w:p>
    <w:p w:rsidR="002B33C6" w:rsidRPr="002B33C6" w:rsidRDefault="002B33C6" w:rsidP="002B33C6">
      <w:pPr>
        <w:pStyle w:val="Sinespaciado"/>
        <w:ind w:left="851" w:right="567"/>
        <w:jc w:val="both"/>
        <w:rPr>
          <w:i/>
        </w:rPr>
      </w:pPr>
    </w:p>
    <w:p w:rsidR="00B0294F" w:rsidRPr="002B33C6" w:rsidRDefault="00B0294F" w:rsidP="002B33C6">
      <w:pPr>
        <w:pStyle w:val="Sinespaciado"/>
        <w:ind w:left="851" w:right="567"/>
        <w:jc w:val="both"/>
        <w:rPr>
          <w:i/>
        </w:rPr>
      </w:pPr>
      <w:r w:rsidRPr="002B33C6">
        <w:rPr>
          <w:b/>
          <w:i/>
        </w:rPr>
        <w:t>Artículo 25.-</w:t>
      </w:r>
      <w:r w:rsidRPr="002B33C6">
        <w:rPr>
          <w:i/>
        </w:rPr>
        <w:t xml:space="preserve"> El Sistema Estatal se conformará con toda la información relacionada con la seguridad pública, que generen las Instituciones de Seguridad Pública y, en su caso, de la Federación y las entidades federativas. </w:t>
      </w:r>
    </w:p>
    <w:p w:rsidR="00B0294F" w:rsidRPr="002B33C6" w:rsidRDefault="00B0294F" w:rsidP="002B33C6">
      <w:pPr>
        <w:pStyle w:val="Sinespaciado"/>
        <w:ind w:left="851" w:right="567"/>
        <w:jc w:val="both"/>
        <w:rPr>
          <w:i/>
        </w:rPr>
      </w:pPr>
      <w:r w:rsidRPr="002B33C6">
        <w:rPr>
          <w:i/>
        </w:rPr>
        <w:t>La información contenida en el Sistema Estatal deberá estar conformado, como mínimo, por las siguientes bases de datos:</w:t>
      </w:r>
    </w:p>
    <w:p w:rsidR="00B0294F" w:rsidRPr="002B33C6" w:rsidRDefault="00B0294F" w:rsidP="002B33C6">
      <w:pPr>
        <w:pStyle w:val="Sinespaciado"/>
        <w:ind w:left="851" w:right="567"/>
        <w:jc w:val="both"/>
        <w:rPr>
          <w:i/>
        </w:rPr>
      </w:pPr>
      <w:r w:rsidRPr="002B33C6">
        <w:rPr>
          <w:i/>
        </w:rPr>
        <w:t>(…)</w:t>
      </w:r>
    </w:p>
    <w:p w:rsidR="00B0294F" w:rsidRDefault="00B0294F" w:rsidP="002B33C6">
      <w:pPr>
        <w:pStyle w:val="Sinespaciado"/>
        <w:ind w:left="851" w:right="567"/>
        <w:jc w:val="both"/>
        <w:rPr>
          <w:i/>
        </w:rPr>
      </w:pPr>
      <w:r w:rsidRPr="002B33C6">
        <w:rPr>
          <w:b/>
          <w:i/>
        </w:rPr>
        <w:t>III.</w:t>
      </w:r>
      <w:r w:rsidRPr="002B33C6">
        <w:rPr>
          <w:i/>
        </w:rPr>
        <w:t xml:space="preserve"> De Personal de Instituciones de Seguridad Pública;</w:t>
      </w:r>
    </w:p>
    <w:p w:rsidR="002B33C6" w:rsidRDefault="002B33C6" w:rsidP="002B33C6">
      <w:pPr>
        <w:pStyle w:val="Sinespaciado"/>
        <w:ind w:left="851" w:right="567"/>
        <w:jc w:val="both"/>
        <w:rPr>
          <w:i/>
        </w:rPr>
      </w:pPr>
      <w:r>
        <w:rPr>
          <w:i/>
        </w:rPr>
        <w:t>(…)</w:t>
      </w:r>
    </w:p>
    <w:p w:rsidR="002B33C6" w:rsidRPr="002B33C6" w:rsidRDefault="002B33C6" w:rsidP="002B33C6">
      <w:pPr>
        <w:pStyle w:val="Sinespaciado"/>
        <w:ind w:left="851" w:right="567"/>
        <w:jc w:val="both"/>
        <w:rPr>
          <w:i/>
        </w:rPr>
      </w:pPr>
    </w:p>
    <w:p w:rsidR="00B0294F" w:rsidRPr="002B33C6" w:rsidRDefault="00B0294F" w:rsidP="002B33C6">
      <w:pPr>
        <w:pStyle w:val="Sinespaciado"/>
        <w:ind w:left="851" w:right="567"/>
        <w:jc w:val="both"/>
        <w:rPr>
          <w:i/>
        </w:rPr>
      </w:pPr>
      <w:r w:rsidRPr="002B33C6">
        <w:rPr>
          <w:b/>
          <w:i/>
        </w:rPr>
        <w:t>Artículo 27</w:t>
      </w:r>
      <w:r w:rsidRPr="00B56F58">
        <w:rPr>
          <w:b/>
          <w:i/>
          <w:u w:val="single"/>
        </w:rPr>
        <w:t>.- La información contenida en el Sistema Estatal será clasificada como confidencial</w:t>
      </w:r>
      <w:r w:rsidRPr="002B33C6">
        <w:rPr>
          <w:i/>
        </w:rPr>
        <w:t xml:space="preserve"> o reservada </w:t>
      </w:r>
      <w:r w:rsidRPr="00B56F58">
        <w:rPr>
          <w:b/>
          <w:i/>
          <w:u w:val="single"/>
        </w:rPr>
        <w:t>en los términos que establezcan las normas aplicables</w:t>
      </w:r>
      <w:r w:rsidRPr="002B33C6">
        <w:rPr>
          <w:i/>
        </w:rPr>
        <w:t>, así como en los acuerdos que emita para tal efecto el Consejo Estatal.</w:t>
      </w:r>
    </w:p>
    <w:p w:rsidR="00B0294F" w:rsidRDefault="00B0294F" w:rsidP="002B33C6">
      <w:pPr>
        <w:pStyle w:val="Sinespaciado"/>
        <w:ind w:left="851" w:right="567"/>
        <w:jc w:val="both"/>
        <w:rPr>
          <w:i/>
        </w:rPr>
      </w:pPr>
      <w:r w:rsidRPr="002B33C6">
        <w:rPr>
          <w:i/>
        </w:rPr>
        <w:t>(…)</w:t>
      </w:r>
    </w:p>
    <w:p w:rsidR="002B33C6" w:rsidRPr="002B33C6" w:rsidRDefault="002B33C6" w:rsidP="002B33C6">
      <w:pPr>
        <w:pStyle w:val="Sinespaciado"/>
        <w:ind w:left="851" w:right="567"/>
        <w:jc w:val="both"/>
        <w:rPr>
          <w:i/>
        </w:rPr>
      </w:pPr>
    </w:p>
    <w:p w:rsidR="00B0294F" w:rsidRPr="002B33C6" w:rsidRDefault="00B0294F" w:rsidP="002B33C6">
      <w:pPr>
        <w:pStyle w:val="Sinespaciado"/>
        <w:ind w:left="851" w:right="567"/>
        <w:jc w:val="both"/>
        <w:rPr>
          <w:i/>
        </w:rPr>
      </w:pPr>
      <w:r w:rsidRPr="002B33C6">
        <w:rPr>
          <w:b/>
          <w:i/>
        </w:rPr>
        <w:t>Artículo 100.-</w:t>
      </w:r>
      <w:r w:rsidRPr="002B33C6">
        <w:rPr>
          <w:i/>
        </w:rPr>
        <w:t xml:space="preserve"> Con el objeto de garantizar el cumplimiento de los principios constitucionales de legalidad, objetividad, eficiencia, profesionalismo, honradez y respeto a los derechos humanos, </w:t>
      </w:r>
      <w:r w:rsidRPr="00B56F58">
        <w:rPr>
          <w:b/>
          <w:i/>
          <w:u w:val="single"/>
        </w:rPr>
        <w:t>los integrantes de las Instituciones de Seguridad Pública tendrán</w:t>
      </w:r>
      <w:r w:rsidRPr="002B33C6">
        <w:rPr>
          <w:i/>
        </w:rPr>
        <w:t xml:space="preserve">, de conformidad con su adscripción a unidades de prevención, de reacción o de investigación, </w:t>
      </w:r>
      <w:r w:rsidRPr="00B56F58">
        <w:rPr>
          <w:b/>
          <w:i/>
          <w:u w:val="single"/>
        </w:rPr>
        <w:t>los derechos y obligaciones siguientes</w:t>
      </w:r>
      <w:r w:rsidRPr="002B33C6">
        <w:rPr>
          <w:i/>
        </w:rPr>
        <w:t>:</w:t>
      </w:r>
    </w:p>
    <w:p w:rsidR="00B0294F" w:rsidRPr="002B33C6" w:rsidRDefault="00B0294F" w:rsidP="002B33C6">
      <w:pPr>
        <w:pStyle w:val="Sinespaciado"/>
        <w:ind w:left="851" w:right="567"/>
        <w:jc w:val="both"/>
        <w:rPr>
          <w:i/>
        </w:rPr>
      </w:pPr>
      <w:r w:rsidRPr="002B33C6">
        <w:rPr>
          <w:i/>
        </w:rPr>
        <w:t>(…)</w:t>
      </w:r>
    </w:p>
    <w:p w:rsidR="00B0294F" w:rsidRPr="002B33C6" w:rsidRDefault="00B0294F" w:rsidP="002B33C6">
      <w:pPr>
        <w:pStyle w:val="Sinespaciado"/>
        <w:ind w:left="851" w:right="567"/>
        <w:jc w:val="both"/>
        <w:rPr>
          <w:i/>
        </w:rPr>
      </w:pPr>
      <w:r w:rsidRPr="002B33C6">
        <w:rPr>
          <w:b/>
          <w:i/>
        </w:rPr>
        <w:t>B.</w:t>
      </w:r>
      <w:r w:rsidRPr="002B33C6">
        <w:rPr>
          <w:i/>
        </w:rPr>
        <w:t xml:space="preserve"> Obligaciones: </w:t>
      </w:r>
    </w:p>
    <w:p w:rsidR="00B0294F" w:rsidRPr="002B33C6" w:rsidRDefault="00B0294F" w:rsidP="002B33C6">
      <w:pPr>
        <w:pStyle w:val="Sinespaciado"/>
        <w:ind w:left="851" w:right="567"/>
        <w:jc w:val="both"/>
        <w:rPr>
          <w:i/>
        </w:rPr>
      </w:pPr>
      <w:r w:rsidRPr="002B33C6">
        <w:rPr>
          <w:b/>
          <w:i/>
        </w:rPr>
        <w:t>I.</w:t>
      </w:r>
      <w:r w:rsidRPr="002B33C6">
        <w:rPr>
          <w:i/>
        </w:rPr>
        <w:t xml:space="preserve"> Generales:</w:t>
      </w:r>
    </w:p>
    <w:p w:rsidR="00B0294F" w:rsidRPr="002B33C6" w:rsidRDefault="00B0294F" w:rsidP="002B33C6">
      <w:pPr>
        <w:pStyle w:val="Sinespaciado"/>
        <w:ind w:left="851" w:right="567"/>
        <w:jc w:val="both"/>
        <w:rPr>
          <w:i/>
        </w:rPr>
      </w:pPr>
      <w:r w:rsidRPr="002B33C6">
        <w:rPr>
          <w:i/>
        </w:rPr>
        <w:t>(…)</w:t>
      </w:r>
    </w:p>
    <w:p w:rsidR="00B0294F" w:rsidRPr="002B33C6" w:rsidRDefault="00B0294F" w:rsidP="002B33C6">
      <w:pPr>
        <w:pStyle w:val="Sinespaciado"/>
        <w:ind w:left="851" w:right="567"/>
        <w:jc w:val="both"/>
        <w:rPr>
          <w:i/>
        </w:rPr>
      </w:pPr>
      <w:r w:rsidRPr="002B33C6">
        <w:rPr>
          <w:b/>
          <w:i/>
        </w:rPr>
        <w:lastRenderedPageBreak/>
        <w:t>m)</w:t>
      </w:r>
      <w:r w:rsidRPr="002B33C6">
        <w:rPr>
          <w:i/>
        </w:rPr>
        <w:t xml:space="preserve"> </w:t>
      </w:r>
      <w:r w:rsidRPr="00B56F58">
        <w:rPr>
          <w:b/>
          <w:i/>
          <w:u w:val="single"/>
        </w:rPr>
        <w:t>Abstenerse</w:t>
      </w:r>
      <w:r w:rsidRPr="002B33C6">
        <w:rPr>
          <w:i/>
        </w:rPr>
        <w:t xml:space="preserve"> conforme a las disposiciones aplicables, </w:t>
      </w:r>
      <w:r w:rsidRPr="00B56F58">
        <w:rPr>
          <w:b/>
          <w:i/>
          <w:u w:val="single"/>
        </w:rPr>
        <w:t>de dar a conocer por cualquier medio a quien no tenga derecho, documentos, registros, imágenes, constancias, estadísticas, reportes o cualquier otra información reservada o confidencial</w:t>
      </w:r>
      <w:r w:rsidRPr="002B33C6">
        <w:rPr>
          <w:i/>
        </w:rPr>
        <w:t xml:space="preserve"> de la que tenga conocimiento en ejercicio y con motivo de su empleo, cargo o comisión;</w:t>
      </w:r>
    </w:p>
    <w:p w:rsidR="00B0294F" w:rsidRDefault="00B0294F" w:rsidP="002B33C6">
      <w:pPr>
        <w:pStyle w:val="Sinespaciado"/>
        <w:ind w:left="851" w:right="567"/>
        <w:jc w:val="both"/>
        <w:rPr>
          <w:i/>
        </w:rPr>
      </w:pPr>
      <w:r w:rsidRPr="002B33C6">
        <w:rPr>
          <w:i/>
        </w:rPr>
        <w:t>(…)</w:t>
      </w:r>
    </w:p>
    <w:p w:rsidR="002B33C6" w:rsidRPr="002B33C6" w:rsidRDefault="002B33C6" w:rsidP="002B33C6">
      <w:pPr>
        <w:pStyle w:val="Sinespaciado"/>
        <w:ind w:left="851" w:right="567"/>
        <w:jc w:val="both"/>
        <w:rPr>
          <w:i/>
        </w:rPr>
      </w:pPr>
    </w:p>
    <w:p w:rsidR="00B0294F" w:rsidRPr="002B33C6" w:rsidRDefault="002B33C6" w:rsidP="002B33C6">
      <w:pPr>
        <w:pStyle w:val="Sinespaciado"/>
        <w:ind w:left="851" w:right="567"/>
        <w:jc w:val="both"/>
        <w:rPr>
          <w:i/>
        </w:rPr>
      </w:pPr>
      <w:r w:rsidRPr="002B33C6">
        <w:rPr>
          <w:b/>
          <w:i/>
        </w:rPr>
        <w:t>Artículo 109.-</w:t>
      </w:r>
      <w:r w:rsidRPr="002B33C6">
        <w:rPr>
          <w:i/>
        </w:rPr>
        <w:t xml:space="preserve"> (…)</w:t>
      </w:r>
    </w:p>
    <w:p w:rsidR="002B33C6" w:rsidRDefault="002B33C6" w:rsidP="002B33C6">
      <w:pPr>
        <w:pStyle w:val="Sinespaciado"/>
        <w:ind w:left="851" w:right="567"/>
        <w:jc w:val="both"/>
      </w:pPr>
      <w:r w:rsidRPr="00B56F58">
        <w:rPr>
          <w:b/>
          <w:i/>
          <w:u w:val="single"/>
        </w:rPr>
        <w:t>Los resultados de los procesos de evaluación y los expedientes integrados al efecto, serán confidenciales</w:t>
      </w:r>
      <w:r w:rsidRPr="002B33C6">
        <w:rPr>
          <w:i/>
        </w:rPr>
        <w:t>, salvo en aquellos casos en que deban presentarse en procedimientos administrativos o judiciales y se mantendrán en reserva en los términos de las disposiciones jurídicas aplicables.</w:t>
      </w:r>
      <w:r>
        <w:rPr>
          <w:i/>
        </w:rPr>
        <w:t>”</w:t>
      </w:r>
    </w:p>
    <w:p w:rsidR="002B33C6" w:rsidRPr="002B33C6" w:rsidRDefault="002B33C6" w:rsidP="002B33C6">
      <w:pPr>
        <w:pStyle w:val="Sinespaciado"/>
        <w:ind w:left="851" w:right="567"/>
        <w:jc w:val="both"/>
        <w:rPr>
          <w:rFonts w:ascii="Palatino Linotype" w:hAnsi="Palatino Linotype"/>
          <w:sz w:val="24"/>
          <w:szCs w:val="24"/>
        </w:rPr>
      </w:pPr>
      <w:r>
        <w:t>(Énfasis añadido)</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B56F58"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En atención a lo anterior, coincido con que la información peticionada por el </w:t>
      </w:r>
      <w:r>
        <w:rPr>
          <w:rFonts w:ascii="Palatino Linotype" w:hAnsi="Palatino Linotype"/>
          <w:b/>
          <w:sz w:val="24"/>
          <w:szCs w:val="24"/>
        </w:rPr>
        <w:t>RECURRENTE</w:t>
      </w:r>
      <w:r>
        <w:rPr>
          <w:rFonts w:ascii="Palatino Linotype" w:hAnsi="Palatino Linotype"/>
          <w:sz w:val="24"/>
          <w:szCs w:val="24"/>
        </w:rPr>
        <w:t xml:space="preserve"> encuadra efectivamente como información clasificada, siendo de carácter confidencial ya que el </w:t>
      </w:r>
      <w:r>
        <w:rPr>
          <w:rFonts w:ascii="Palatino Linotype" w:hAnsi="Palatino Linotype"/>
          <w:b/>
          <w:sz w:val="24"/>
          <w:szCs w:val="24"/>
        </w:rPr>
        <w:t>SUJETO OBLIGADO</w:t>
      </w:r>
      <w:r>
        <w:rPr>
          <w:rFonts w:ascii="Palatino Linotype" w:hAnsi="Palatino Linotype"/>
          <w:sz w:val="24"/>
          <w:szCs w:val="24"/>
        </w:rPr>
        <w:t xml:space="preserve"> dentro del documento remitido como alcance no se pronunció respecto de si los resultados de los exámenes de la servidora pública de quien se solicita la información se encontraba inmersa en algún procedimiento administrativo o judicial.</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2C03A4"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Sin embargo, opino que no cabía razón por la cual se realizara una exposición y análisis de los artículos</w:t>
      </w:r>
      <w:r w:rsidR="00864750">
        <w:rPr>
          <w:rFonts w:ascii="Palatino Linotype" w:hAnsi="Palatino Linotype"/>
          <w:sz w:val="24"/>
          <w:szCs w:val="24"/>
        </w:rPr>
        <w:t xml:space="preserve"> 125, 126, 127</w:t>
      </w:r>
      <w:r w:rsidRPr="007F3355">
        <w:rPr>
          <w:rFonts w:ascii="Palatino Linotype" w:hAnsi="Palatino Linotype"/>
          <w:sz w:val="24"/>
          <w:szCs w:val="24"/>
        </w:rPr>
        <w:t>, 140 fracción VIII, 141 y 142 de</w:t>
      </w:r>
      <w:r>
        <w:rPr>
          <w:rFonts w:ascii="Palatino Linotype" w:hAnsi="Palatino Linotype"/>
          <w:sz w:val="24"/>
          <w:szCs w:val="24"/>
        </w:rPr>
        <w:t xml:space="preserve"> la Ley de Transparencia y Acceso a la Información del Estado de México y Municipios, ya que </w:t>
      </w:r>
      <w:r w:rsidR="00864750">
        <w:rPr>
          <w:rFonts w:ascii="Palatino Linotype" w:hAnsi="Palatino Linotype"/>
          <w:sz w:val="24"/>
          <w:szCs w:val="24"/>
        </w:rPr>
        <w:t xml:space="preserve">se limitan a delimitar las particularidades de la información clasificada como </w:t>
      </w:r>
      <w:r w:rsidR="00864750">
        <w:rPr>
          <w:rFonts w:ascii="Palatino Linotype" w:hAnsi="Palatino Linotype"/>
          <w:b/>
          <w:sz w:val="24"/>
          <w:szCs w:val="24"/>
        </w:rPr>
        <w:t>reservada</w:t>
      </w:r>
      <w:r w:rsidR="00864750">
        <w:rPr>
          <w:rFonts w:ascii="Palatino Linotype" w:hAnsi="Palatino Linotype"/>
          <w:sz w:val="24"/>
          <w:szCs w:val="24"/>
        </w:rPr>
        <w:t xml:space="preserve"> y no como confidencial, siendo el tipo de clasificación que se pretender reconocer en atención a los preceptos jurídicos invocados.</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864750"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lastRenderedPageBreak/>
        <w:t>Dicho lo anterior, en lugar de los numerales en comento, debieron haberse expuesto los artículos 143, 144, 145, 146, 147, 148 y 149 de la Ley de la Materia, los cuales exponen lo siguiente:</w:t>
      </w:r>
    </w:p>
    <w:p w:rsidR="00864750" w:rsidRPr="00864750" w:rsidRDefault="00864750" w:rsidP="00864750">
      <w:pPr>
        <w:pStyle w:val="Sinespaciado"/>
        <w:ind w:left="851" w:right="567"/>
        <w:jc w:val="both"/>
        <w:rPr>
          <w:rFonts w:ascii="Palatino Linotype" w:hAnsi="Palatino Linotype"/>
          <w:i/>
        </w:rPr>
      </w:pPr>
      <w:r>
        <w:rPr>
          <w:rFonts w:ascii="Palatino Linotype" w:hAnsi="Palatino Linotype"/>
          <w:i/>
        </w:rPr>
        <w:t>“</w:t>
      </w:r>
      <w:r w:rsidRPr="00864750">
        <w:rPr>
          <w:rFonts w:ascii="Palatino Linotype" w:hAnsi="Palatino Linotype"/>
          <w:b/>
          <w:i/>
        </w:rPr>
        <w:t>Artículo 143.</w:t>
      </w:r>
      <w:r w:rsidRPr="00864750">
        <w:rPr>
          <w:rFonts w:ascii="Palatino Linotype" w:hAnsi="Palatino Linotype"/>
          <w:i/>
        </w:rPr>
        <w:t xml:space="preserve"> Para los efectos de esta Ley se considera información confidencial, la clasificada como tal, de manera permanente, por su naturaleza, cuando: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w:t>
      </w:r>
      <w:r w:rsidRPr="00864750">
        <w:rPr>
          <w:rFonts w:ascii="Palatino Linotype" w:hAnsi="Palatino Linotype"/>
          <w:i/>
        </w:rPr>
        <w:t xml:space="preserve"> Se refiera a la información privada y los datos personales concernientes a una persona física o </w:t>
      </w:r>
      <w:proofErr w:type="gramStart"/>
      <w:r w:rsidRPr="00864750">
        <w:rPr>
          <w:rFonts w:ascii="Palatino Linotype" w:hAnsi="Palatino Linotype"/>
          <w:i/>
        </w:rPr>
        <w:t>jurídico</w:t>
      </w:r>
      <w:proofErr w:type="gramEnd"/>
      <w:r w:rsidRPr="00864750">
        <w:rPr>
          <w:rFonts w:ascii="Palatino Linotype" w:hAnsi="Palatino Linotype"/>
          <w:i/>
        </w:rPr>
        <w:t xml:space="preserve"> colectiva identificada o identificable;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II.</w:t>
      </w:r>
      <w:r w:rsidRPr="00864750">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III.</w:t>
      </w:r>
      <w:r w:rsidRPr="00864750">
        <w:rPr>
          <w:rFonts w:ascii="Palatino Linotype" w:hAnsi="Palatino Linotype"/>
          <w:i/>
        </w:rPr>
        <w:t xml:space="preserve"> La que presenten los particulares a los sujetos obligados, de conformidad con lo dispuesto por las leyes o los tratados internacionales.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 </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Artículo 144.</w:t>
      </w:r>
      <w:r w:rsidRPr="00864750">
        <w:rPr>
          <w:rFonts w:ascii="Palatino Linotype" w:hAnsi="Palatino Linotype"/>
          <w:i/>
        </w:rPr>
        <w:t xml:space="preserve"> Los sujetos obligados que se constituyan como fideicomitentes, fideicomisarios o fiduciarios en fideicomisos que involucren recursos públicos, no podrán clasificar, por ese solo supuesto, la información relativa al ejercicio de éstos, como secreto bancario o fiduciario, sin perjuicio de las demás causales de clasificación que prevé la presente Ley. </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Artículo 145.</w:t>
      </w:r>
      <w:r w:rsidRPr="00864750">
        <w:rPr>
          <w:rFonts w:ascii="Palatino Linotype" w:hAnsi="Palatino Linotype"/>
          <w:i/>
        </w:rPr>
        <w:t xml:space="preserve"> Los sujetos obligados que se constituyan como usuarios o como institución bancaria en operaciones que involucren recursos públicos, no podrán clasificar, por ese solo supuesto, la información relativa al ejercicio de estos, como secreto bancario, sin perjuicio de las demás causales de clasificación que prevé la presente Ley. </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Artículo 146.</w:t>
      </w:r>
      <w:r w:rsidRPr="00864750">
        <w:rPr>
          <w:rFonts w:ascii="Palatino Linotype" w:hAnsi="Palatino Linotype"/>
          <w:i/>
        </w:rPr>
        <w:t xml:space="preserve"> Los sujetos obligados que se constituyan como contribuyentes o como autoridades en materia tributaria, no podrán clasificar la información relativa al ejercicio de recursos públicos como secreto fiscal. </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lastRenderedPageBreak/>
        <w:t>Artículo 147.</w:t>
      </w:r>
      <w:r w:rsidRPr="00864750">
        <w:rPr>
          <w:rFonts w:ascii="Palatino Linotype" w:hAnsi="Palatino Linotype"/>
          <w:i/>
        </w:rPr>
        <w:t xml:space="preserve"> Para que los sujetos obligados puedan permitir el acceso a información confidencial requieren obtener el consentimiento de los particulares titulares de la información. </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Artículo 148.</w:t>
      </w:r>
      <w:r w:rsidRPr="00864750">
        <w:rPr>
          <w:rFonts w:ascii="Palatino Linotype" w:hAnsi="Palatino Linotype"/>
          <w:i/>
        </w:rPr>
        <w:t xml:space="preserve"> No se requerirá el consentimiento del titular de la información confidencial cuando: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w:t>
      </w:r>
      <w:r w:rsidRPr="00864750">
        <w:rPr>
          <w:rFonts w:ascii="Palatino Linotype" w:hAnsi="Palatino Linotype"/>
          <w:i/>
        </w:rPr>
        <w:t xml:space="preserve"> La información se encuentre en registros públicos o fuentes de acceso público;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II.</w:t>
      </w:r>
      <w:r w:rsidRPr="00864750">
        <w:rPr>
          <w:rFonts w:ascii="Palatino Linotype" w:hAnsi="Palatino Linotype"/>
          <w:i/>
        </w:rPr>
        <w:t xml:space="preserve"> Por Ley tenga el carácter de pública;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III.</w:t>
      </w:r>
      <w:r w:rsidRPr="00864750">
        <w:rPr>
          <w:rFonts w:ascii="Palatino Linotype" w:hAnsi="Palatino Linotype"/>
          <w:i/>
        </w:rPr>
        <w:t xml:space="preserve"> Exista una orden judicial;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IV.</w:t>
      </w:r>
      <w:r w:rsidRPr="00864750">
        <w:rPr>
          <w:rFonts w:ascii="Palatino Linotype" w:hAnsi="Palatino Linotype"/>
          <w:i/>
        </w:rPr>
        <w:t xml:space="preserve"> Por razones de seguridad pública, o para proteger los derechos de terceros, se requiera su publicación; o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b/>
          <w:i/>
        </w:rPr>
        <w:t>V.</w:t>
      </w:r>
      <w:r w:rsidRPr="00864750">
        <w:rPr>
          <w:rFonts w:ascii="Palatino Linotype" w:hAnsi="Palatino Linotype"/>
          <w:i/>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i/>
        </w:rPr>
        <w:t xml:space="preserve">Para efectos de la fracción I del presente artículo, deberá sujetarse a lo previsto en las disposiciones jurídicas aplicables. </w:t>
      </w:r>
    </w:p>
    <w:p w:rsidR="00864750" w:rsidRPr="00864750" w:rsidRDefault="00864750" w:rsidP="00864750">
      <w:pPr>
        <w:pStyle w:val="Sinespaciado"/>
        <w:ind w:left="851" w:right="567"/>
        <w:jc w:val="both"/>
        <w:rPr>
          <w:rFonts w:ascii="Palatino Linotype" w:hAnsi="Palatino Linotype"/>
          <w:i/>
        </w:rPr>
      </w:pPr>
      <w:r w:rsidRPr="00864750">
        <w:rPr>
          <w:rFonts w:ascii="Palatino Linotype" w:hAnsi="Palatino Linotype"/>
          <w:i/>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rsidR="00864750" w:rsidRPr="00864750" w:rsidRDefault="00864750" w:rsidP="00864750">
      <w:pPr>
        <w:pStyle w:val="Sinespaciado"/>
        <w:ind w:left="851" w:right="567"/>
        <w:jc w:val="both"/>
        <w:rPr>
          <w:rFonts w:ascii="Palatino Linotype" w:hAnsi="Palatino Linotype"/>
          <w:i/>
        </w:rPr>
      </w:pPr>
    </w:p>
    <w:p w:rsidR="00864750" w:rsidRPr="00864750" w:rsidRDefault="00864750" w:rsidP="00864750">
      <w:pPr>
        <w:pStyle w:val="Sinespaciado"/>
        <w:ind w:left="851" w:right="567"/>
        <w:jc w:val="both"/>
        <w:rPr>
          <w:rFonts w:ascii="Palatino Linotype" w:hAnsi="Palatino Linotype"/>
          <w:i/>
          <w:sz w:val="24"/>
          <w:szCs w:val="24"/>
        </w:rPr>
      </w:pPr>
      <w:r w:rsidRPr="00864750">
        <w:rPr>
          <w:rFonts w:ascii="Palatino Linotype" w:hAnsi="Palatino Linotype"/>
          <w:b/>
          <w:i/>
        </w:rPr>
        <w:t xml:space="preserve">Artículo 149. </w:t>
      </w:r>
      <w:r w:rsidRPr="00864750">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rsidR="00864750" w:rsidRDefault="00864750" w:rsidP="00930B05">
      <w:pPr>
        <w:pStyle w:val="Prrafodelista"/>
        <w:spacing w:line="360" w:lineRule="auto"/>
        <w:ind w:left="360"/>
        <w:jc w:val="both"/>
        <w:rPr>
          <w:rFonts w:ascii="Palatino Linotype" w:hAnsi="Palatino Linotype"/>
          <w:sz w:val="24"/>
          <w:szCs w:val="24"/>
        </w:rPr>
      </w:pPr>
    </w:p>
    <w:p w:rsidR="00930B05" w:rsidRDefault="00864750"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Expongo lo anterior, toda vez que, reitero, las resoluciones que emanen de este Órgano Garante deben estar revestidas de los principios de </w:t>
      </w:r>
      <w:r>
        <w:rPr>
          <w:rFonts w:ascii="Palatino Linotype" w:hAnsi="Palatino Linotype"/>
          <w:b/>
          <w:sz w:val="24"/>
          <w:szCs w:val="24"/>
        </w:rPr>
        <w:t>certeza, legalidad y objetividad</w:t>
      </w:r>
      <w:r w:rsidR="008405EC">
        <w:rPr>
          <w:rFonts w:ascii="Palatino Linotype" w:hAnsi="Palatino Linotype"/>
          <w:sz w:val="24"/>
          <w:szCs w:val="24"/>
        </w:rPr>
        <w:t xml:space="preserve"> considerados en el artículo 9 de la Ley de Transparencia y Acceso a la Información Pública del Estado de México y Municipios.</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8405EC" w:rsidP="001A2574">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lastRenderedPageBreak/>
        <w:t>Lo anterior en atención a otorgar una resolución debidamente fundada y motivada y se disminuyan las promociones de juicios de amparo ante el Órgano Garante Nacional.</w:t>
      </w:r>
    </w:p>
    <w:p w:rsidR="00930B05" w:rsidRDefault="00930B05" w:rsidP="00930B05">
      <w:pPr>
        <w:pStyle w:val="Prrafodelista"/>
        <w:spacing w:line="360" w:lineRule="auto"/>
        <w:ind w:left="360"/>
        <w:jc w:val="both"/>
        <w:rPr>
          <w:rFonts w:ascii="Palatino Linotype" w:hAnsi="Palatino Linotype"/>
          <w:sz w:val="24"/>
          <w:szCs w:val="24"/>
        </w:rPr>
      </w:pPr>
    </w:p>
    <w:p w:rsidR="00930B05" w:rsidRDefault="008405EC" w:rsidP="008405EC">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Robustece lo anterior la Tesis </w:t>
      </w:r>
      <w:r w:rsidRPr="008405EC">
        <w:rPr>
          <w:rFonts w:ascii="Palatino Linotype" w:hAnsi="Palatino Linotype"/>
          <w:sz w:val="24"/>
          <w:szCs w:val="24"/>
        </w:rPr>
        <w:t>I.6o.C.3 K (10a.)</w:t>
      </w:r>
      <w:r>
        <w:rPr>
          <w:rFonts w:ascii="Palatino Linotype" w:hAnsi="Palatino Linotype"/>
          <w:sz w:val="24"/>
          <w:szCs w:val="24"/>
        </w:rPr>
        <w:t xml:space="preserve"> de la Suprema Corte de Justicia de la Nación, la cual expone lo siguiente:</w:t>
      </w:r>
    </w:p>
    <w:p w:rsidR="00930B05" w:rsidRDefault="00930B05" w:rsidP="00930B05">
      <w:pPr>
        <w:pStyle w:val="Prrafodelista"/>
        <w:spacing w:line="360" w:lineRule="auto"/>
        <w:ind w:left="360"/>
        <w:jc w:val="both"/>
        <w:rPr>
          <w:rFonts w:ascii="Palatino Linotype" w:hAnsi="Palatino Linotype"/>
          <w:sz w:val="24"/>
          <w:szCs w:val="24"/>
        </w:rPr>
      </w:pPr>
    </w:p>
    <w:p w:rsidR="008405EC" w:rsidRPr="008405EC" w:rsidRDefault="008405EC" w:rsidP="008405EC">
      <w:pPr>
        <w:pStyle w:val="Sinespaciado"/>
        <w:ind w:left="851" w:right="567"/>
        <w:jc w:val="both"/>
        <w:rPr>
          <w:rFonts w:ascii="Palatino Linotype" w:hAnsi="Palatino Linotype"/>
          <w:i/>
        </w:rPr>
      </w:pPr>
      <w:r w:rsidRPr="008405EC">
        <w:rPr>
          <w:rFonts w:ascii="Palatino Linotype" w:hAnsi="Palatino Linotype"/>
          <w:b/>
          <w:i/>
        </w:rPr>
        <w:t>PRINCIPIO DE CONGRUENCIA. EFECTOS DEL AMPARO CONCEDIDO CONTRA SU VIOLACIÓN.</w:t>
      </w:r>
      <w:r w:rsidRPr="008405EC">
        <w:rPr>
          <w:rFonts w:ascii="Palatino Linotype" w:hAnsi="Palatino Linotype"/>
          <w:i/>
        </w:rPr>
        <w:t xml:space="preserve"> “La violación al principio de congruencia, en términos generales, da lugar a conceder a la parte quejosa el amparo y protección de la Justicia Federal, para el efecto de que la responsable deje insubsistente la sentencia o resolución que constituyan el o los actos reclamados, y se dicten las nuevas resoluciones o sentencias correspondientes, en las que se repare la violación en que haya incurrido la autoridad responsable de que se trate; empero, la restitución se constriñe a realizar el estudio que, en su caso, se hubiera omitido y no así, a resolver la controversia, necesariamente, en un determinado sentido, toda vez que en ese aspecto la autoridad responsable goza de plenitud de jurisdicción y arbitrio judicial.”</w:t>
      </w:r>
    </w:p>
    <w:p w:rsidR="008405EC" w:rsidRPr="008405EC" w:rsidRDefault="008405EC" w:rsidP="008405EC">
      <w:pPr>
        <w:spacing w:line="360" w:lineRule="auto"/>
        <w:jc w:val="both"/>
        <w:rPr>
          <w:rFonts w:ascii="Palatino Linotype" w:hAnsi="Palatino Linotype"/>
          <w:sz w:val="24"/>
          <w:szCs w:val="24"/>
        </w:rPr>
      </w:pPr>
    </w:p>
    <w:p w:rsidR="00B35DFF" w:rsidRPr="00BB0BA5" w:rsidRDefault="001B72BB" w:rsidP="001B72BB">
      <w:pPr>
        <w:pStyle w:val="Ttulo1"/>
        <w:rPr>
          <w:rFonts w:ascii="Palatino Linotype" w:hAnsi="Palatino Linotype"/>
          <w:b/>
          <w:color w:val="auto"/>
          <w:sz w:val="24"/>
        </w:rPr>
      </w:pPr>
      <w:bookmarkStart w:id="3" w:name="_Toc521328144"/>
      <w:r>
        <w:rPr>
          <w:rFonts w:ascii="Palatino Linotype" w:hAnsi="Palatino Linotype"/>
          <w:b/>
          <w:color w:val="auto"/>
          <w:sz w:val="24"/>
        </w:rPr>
        <w:t xml:space="preserve">IV. </w:t>
      </w:r>
      <w:r w:rsidR="00B35DFF" w:rsidRPr="00BB0BA5">
        <w:rPr>
          <w:rFonts w:ascii="Palatino Linotype" w:hAnsi="Palatino Linotype"/>
          <w:b/>
          <w:color w:val="auto"/>
          <w:sz w:val="24"/>
        </w:rPr>
        <w:t>Conclusión</w:t>
      </w:r>
      <w:bookmarkEnd w:id="3"/>
    </w:p>
    <w:p w:rsidR="00B35DFF" w:rsidRPr="00BB0BA5" w:rsidRDefault="00B35DFF" w:rsidP="00B35DFF">
      <w:pPr>
        <w:pStyle w:val="Prrafodelista"/>
        <w:spacing w:line="360" w:lineRule="auto"/>
        <w:ind w:left="360"/>
        <w:jc w:val="both"/>
        <w:rPr>
          <w:rFonts w:ascii="Palatino Linotype" w:hAnsi="Palatino Linotype"/>
          <w:sz w:val="24"/>
          <w:szCs w:val="24"/>
        </w:rPr>
      </w:pPr>
    </w:p>
    <w:p w:rsidR="00276744" w:rsidRDefault="00276744" w:rsidP="00DF2A07">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Debemos atender de manera objetiva y detallada las obligaciones de los Sujetos Obligados para publicar su información pública de oficio, o bien, la información pública inherente a cada una de las instituciones públicas; al momento de hallar una limitante al derecho de acceso a la información respecto de cierto paquete de información, habremos de evidenciar dentro del estudio de las resoluciones no sólo los preceptos legales que contemplen las limitantes, sino que también </w:t>
      </w:r>
      <w:r>
        <w:rPr>
          <w:rFonts w:ascii="Palatino Linotype" w:hAnsi="Palatino Linotype"/>
          <w:sz w:val="24"/>
          <w:szCs w:val="24"/>
        </w:rPr>
        <w:lastRenderedPageBreak/>
        <w:t xml:space="preserve">habremos de adecuarlas a la Ley de Transparencia y Acceso a la Información del Estado de México y Municipios a efecto de confirmar que la limitante a este derecho sea justa y apegada a la Ley de la Materia. </w:t>
      </w:r>
    </w:p>
    <w:p w:rsidR="00276744" w:rsidRDefault="00276744" w:rsidP="00276744">
      <w:pPr>
        <w:pStyle w:val="Prrafodelista"/>
        <w:spacing w:line="360" w:lineRule="auto"/>
        <w:ind w:left="360"/>
        <w:jc w:val="both"/>
        <w:rPr>
          <w:rFonts w:ascii="Palatino Linotype" w:hAnsi="Palatino Linotype"/>
          <w:sz w:val="24"/>
          <w:szCs w:val="24"/>
        </w:rPr>
      </w:pPr>
    </w:p>
    <w:p w:rsidR="00DF2A07" w:rsidRPr="00276744" w:rsidRDefault="00276744" w:rsidP="00DF2A07">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En atención a lo anterior, se deberá seguir una línea congruente dentro de la información clasificada, puesto que el estudio y fundamentación de la información reservada difiere a la confidencial, por lo que el Órgano Garante habrá de procurar ser minucioso y detallado en la sustanciación y explicación de las causas por las que no se le puede entregar información a los solicitantes en pro de atender a los principios de congruencia, certeza, objetividad y legalidad que rigen a este Instituto.</w:t>
      </w:r>
    </w:p>
    <w:p w:rsidR="00DF2A07" w:rsidRDefault="00DF2A07" w:rsidP="00DF2A07">
      <w:pPr>
        <w:pStyle w:val="Prrafodelista"/>
        <w:spacing w:line="360" w:lineRule="auto"/>
        <w:ind w:left="360"/>
        <w:jc w:val="both"/>
        <w:rPr>
          <w:rFonts w:ascii="Palatino Linotype" w:hAnsi="Palatino Linotype"/>
          <w:sz w:val="24"/>
          <w:szCs w:val="24"/>
        </w:rPr>
      </w:pPr>
    </w:p>
    <w:p w:rsidR="00237B53" w:rsidRDefault="00237B53" w:rsidP="00DF2A07">
      <w:pPr>
        <w:pStyle w:val="Prrafodelista"/>
        <w:spacing w:line="360" w:lineRule="auto"/>
        <w:ind w:left="360"/>
        <w:jc w:val="both"/>
        <w:rPr>
          <w:rFonts w:ascii="Palatino Linotype" w:hAnsi="Palatino Linotype"/>
          <w:sz w:val="24"/>
          <w:szCs w:val="24"/>
        </w:rPr>
      </w:pPr>
    </w:p>
    <w:p w:rsidR="00BD49E0" w:rsidRDefault="00BD49E0" w:rsidP="00DF2A07">
      <w:pPr>
        <w:pStyle w:val="Prrafodelista"/>
        <w:spacing w:line="360" w:lineRule="auto"/>
        <w:ind w:left="360"/>
        <w:jc w:val="both"/>
        <w:rPr>
          <w:rFonts w:ascii="Palatino Linotype" w:hAnsi="Palatino Linotype"/>
          <w:sz w:val="24"/>
          <w:szCs w:val="24"/>
        </w:rPr>
      </w:pPr>
    </w:p>
    <w:p w:rsidR="006C1C43" w:rsidRDefault="006C1C43" w:rsidP="00DF2A07">
      <w:pPr>
        <w:pStyle w:val="Prrafodelista"/>
        <w:spacing w:line="360" w:lineRule="auto"/>
        <w:ind w:left="360"/>
        <w:jc w:val="both"/>
        <w:rPr>
          <w:rFonts w:ascii="Palatino Linotype" w:hAnsi="Palatino Linotype"/>
          <w:sz w:val="24"/>
          <w:szCs w:val="24"/>
        </w:rPr>
      </w:pPr>
    </w:p>
    <w:p w:rsidR="006C1C43" w:rsidRDefault="006C1C43" w:rsidP="00DF2A07">
      <w:pPr>
        <w:pStyle w:val="Prrafodelista"/>
        <w:spacing w:line="360" w:lineRule="auto"/>
        <w:ind w:left="360"/>
        <w:jc w:val="both"/>
        <w:rPr>
          <w:rFonts w:ascii="Palatino Linotype" w:hAnsi="Palatino Linotype"/>
          <w:sz w:val="24"/>
          <w:szCs w:val="24"/>
        </w:rPr>
      </w:pPr>
    </w:p>
    <w:p w:rsidR="005A4FE3" w:rsidRPr="00BB0BA5" w:rsidRDefault="005A4FE3" w:rsidP="005A4FE3">
      <w:pPr>
        <w:spacing w:line="360" w:lineRule="auto"/>
        <w:jc w:val="center"/>
        <w:rPr>
          <w:rFonts w:ascii="Palatino Linotype" w:hAnsi="Palatino Linotype"/>
          <w:b/>
          <w:sz w:val="24"/>
          <w:szCs w:val="24"/>
        </w:rPr>
      </w:pPr>
      <w:r w:rsidRPr="00BB0BA5">
        <w:rPr>
          <w:rFonts w:ascii="Palatino Linotype" w:hAnsi="Palatino Linotype"/>
          <w:b/>
          <w:sz w:val="24"/>
          <w:szCs w:val="24"/>
        </w:rPr>
        <w:t>JOSÉ GUADALUPE LUNA HERNANDEZ</w:t>
      </w:r>
    </w:p>
    <w:p w:rsidR="007C7C8A" w:rsidRDefault="005A4FE3" w:rsidP="0022566B">
      <w:pPr>
        <w:spacing w:line="360" w:lineRule="auto"/>
        <w:jc w:val="center"/>
        <w:rPr>
          <w:rFonts w:ascii="Palatino Linotype" w:hAnsi="Palatino Linotype"/>
          <w:b/>
          <w:sz w:val="24"/>
          <w:szCs w:val="24"/>
        </w:rPr>
      </w:pPr>
      <w:r w:rsidRPr="00BB0BA5">
        <w:rPr>
          <w:rFonts w:ascii="Palatino Linotype" w:hAnsi="Palatino Linotype"/>
          <w:b/>
          <w:sz w:val="24"/>
          <w:szCs w:val="24"/>
        </w:rPr>
        <w:t>COMISIONADO</w:t>
      </w:r>
    </w:p>
    <w:p w:rsidR="0022628C" w:rsidRDefault="00822449" w:rsidP="00822449">
      <w:pPr>
        <w:spacing w:line="360" w:lineRule="auto"/>
        <w:jc w:val="center"/>
        <w:rPr>
          <w:rFonts w:ascii="Palatino Linotype" w:hAnsi="Palatino Linotype"/>
          <w:b/>
          <w:sz w:val="24"/>
          <w:szCs w:val="24"/>
        </w:rPr>
      </w:pPr>
      <w:r>
        <w:rPr>
          <w:rFonts w:ascii="Palatino Linotype" w:hAnsi="Palatino Linotype"/>
          <w:b/>
          <w:sz w:val="24"/>
          <w:szCs w:val="24"/>
        </w:rPr>
        <w:t>(Rubrica)</w:t>
      </w:r>
    </w:p>
    <w:p w:rsidR="00E940EB" w:rsidRPr="00BB0BA5" w:rsidRDefault="005A4FE3" w:rsidP="00827A65">
      <w:pPr>
        <w:spacing w:line="360" w:lineRule="auto"/>
        <w:rPr>
          <w:rFonts w:ascii="Palatino Linotype" w:hAnsi="Palatino Linotype"/>
          <w:sz w:val="24"/>
          <w:szCs w:val="24"/>
        </w:rPr>
      </w:pPr>
      <w:r w:rsidRPr="00BB0BA5">
        <w:rPr>
          <w:rFonts w:ascii="Palatino Linotype" w:hAnsi="Palatino Linotype"/>
          <w:b/>
          <w:sz w:val="24"/>
          <w:szCs w:val="24"/>
        </w:rPr>
        <w:t>JGLH/</w:t>
      </w:r>
      <w:r w:rsidR="00331425">
        <w:rPr>
          <w:rFonts w:ascii="Palatino Linotype" w:hAnsi="Palatino Linotype"/>
          <w:b/>
          <w:sz w:val="24"/>
          <w:szCs w:val="24"/>
        </w:rPr>
        <w:t>JAAV</w:t>
      </w:r>
      <w:r w:rsidR="00827A65" w:rsidRPr="00BB0BA5">
        <w:rPr>
          <w:rFonts w:ascii="Palatino Linotype" w:hAnsi="Palatino Linotype"/>
          <w:b/>
          <w:sz w:val="24"/>
          <w:szCs w:val="24"/>
        </w:rPr>
        <w:t>.</w:t>
      </w:r>
      <w:bookmarkStart w:id="4" w:name="_GoBack"/>
      <w:bookmarkEnd w:id="4"/>
    </w:p>
    <w:sectPr w:rsidR="00E940EB" w:rsidRPr="00BB0BA5" w:rsidSect="00AD4277">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42" w:rsidRDefault="004E4342" w:rsidP="00DC559A">
      <w:pPr>
        <w:spacing w:after="0" w:line="240" w:lineRule="auto"/>
      </w:pPr>
      <w:r>
        <w:separator/>
      </w:r>
    </w:p>
  </w:endnote>
  <w:endnote w:type="continuationSeparator" w:id="0">
    <w:p w:rsidR="004E4342" w:rsidRDefault="004E4342"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4722">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4722">
              <w:rPr>
                <w:b/>
                <w:bCs/>
                <w:noProof/>
              </w:rPr>
              <w:t>13</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42" w:rsidRDefault="004E4342" w:rsidP="00DC559A">
      <w:pPr>
        <w:spacing w:after="0" w:line="240" w:lineRule="auto"/>
      </w:pPr>
      <w:r>
        <w:separator/>
      </w:r>
    </w:p>
  </w:footnote>
  <w:footnote w:type="continuationSeparator" w:id="0">
    <w:p w:rsidR="004E4342" w:rsidRDefault="004E4342"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997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997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9970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346C9F"/>
    <w:multiLevelType w:val="hybridMultilevel"/>
    <w:tmpl w:val="0D0004A8"/>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536E79C8"/>
    <w:multiLevelType w:val="hybridMultilevel"/>
    <w:tmpl w:val="7D128702"/>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6">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A216E9"/>
    <w:multiLevelType w:val="hybridMultilevel"/>
    <w:tmpl w:val="4CAAA3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0"/>
  </w:num>
  <w:num w:numId="3">
    <w:abstractNumId w:val="16"/>
  </w:num>
  <w:num w:numId="4">
    <w:abstractNumId w:val="9"/>
  </w:num>
  <w:num w:numId="5">
    <w:abstractNumId w:val="20"/>
  </w:num>
  <w:num w:numId="6">
    <w:abstractNumId w:val="10"/>
  </w:num>
  <w:num w:numId="7">
    <w:abstractNumId w:val="19"/>
  </w:num>
  <w:num w:numId="8">
    <w:abstractNumId w:val="11"/>
  </w:num>
  <w:num w:numId="9">
    <w:abstractNumId w:val="8"/>
  </w:num>
  <w:num w:numId="10">
    <w:abstractNumId w:val="18"/>
  </w:num>
  <w:num w:numId="11">
    <w:abstractNumId w:val="15"/>
  </w:num>
  <w:num w:numId="12">
    <w:abstractNumId w:val="17"/>
  </w:num>
  <w:num w:numId="13">
    <w:abstractNumId w:val="12"/>
  </w:num>
  <w:num w:numId="14">
    <w:abstractNumId w:val="3"/>
  </w:num>
  <w:num w:numId="15">
    <w:abstractNumId w:val="4"/>
  </w:num>
  <w:num w:numId="16">
    <w:abstractNumId w:val="2"/>
  </w:num>
  <w:num w:numId="17">
    <w:abstractNumId w:val="7"/>
  </w:num>
  <w:num w:numId="18">
    <w:abstractNumId w:val="13"/>
  </w:num>
  <w:num w:numId="19">
    <w:abstractNumId w:val="6"/>
  </w:num>
  <w:num w:numId="20">
    <w:abstractNumId w:val="1"/>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538F8"/>
    <w:rsid w:val="000C4F36"/>
    <w:rsid w:val="000C6478"/>
    <w:rsid w:val="000E54D5"/>
    <w:rsid w:val="000F4071"/>
    <w:rsid w:val="00112650"/>
    <w:rsid w:val="001305C0"/>
    <w:rsid w:val="00133E75"/>
    <w:rsid w:val="00142D5E"/>
    <w:rsid w:val="00196806"/>
    <w:rsid w:val="001A2574"/>
    <w:rsid w:val="001B3AE5"/>
    <w:rsid w:val="001B6EF2"/>
    <w:rsid w:val="001B72BB"/>
    <w:rsid w:val="001B7E4C"/>
    <w:rsid w:val="001D4EE1"/>
    <w:rsid w:val="001D585E"/>
    <w:rsid w:val="0020160E"/>
    <w:rsid w:val="00204722"/>
    <w:rsid w:val="00211220"/>
    <w:rsid w:val="0021504B"/>
    <w:rsid w:val="00220DA8"/>
    <w:rsid w:val="0022566B"/>
    <w:rsid w:val="0022628C"/>
    <w:rsid w:val="00237B53"/>
    <w:rsid w:val="00276744"/>
    <w:rsid w:val="002930FB"/>
    <w:rsid w:val="002948E5"/>
    <w:rsid w:val="002A213D"/>
    <w:rsid w:val="002B33C6"/>
    <w:rsid w:val="002C03A4"/>
    <w:rsid w:val="002D3591"/>
    <w:rsid w:val="002D65E0"/>
    <w:rsid w:val="002F7919"/>
    <w:rsid w:val="00303479"/>
    <w:rsid w:val="00312935"/>
    <w:rsid w:val="00331425"/>
    <w:rsid w:val="00340794"/>
    <w:rsid w:val="0034151E"/>
    <w:rsid w:val="003546F8"/>
    <w:rsid w:val="0035555A"/>
    <w:rsid w:val="0036790A"/>
    <w:rsid w:val="00371359"/>
    <w:rsid w:val="003846D3"/>
    <w:rsid w:val="00385BD0"/>
    <w:rsid w:val="0038702C"/>
    <w:rsid w:val="0039232D"/>
    <w:rsid w:val="003D62CE"/>
    <w:rsid w:val="003F1C1E"/>
    <w:rsid w:val="00406808"/>
    <w:rsid w:val="004366D0"/>
    <w:rsid w:val="004534AD"/>
    <w:rsid w:val="00472D6F"/>
    <w:rsid w:val="004759E5"/>
    <w:rsid w:val="004A69D6"/>
    <w:rsid w:val="004B0AAB"/>
    <w:rsid w:val="004C224A"/>
    <w:rsid w:val="004C73FB"/>
    <w:rsid w:val="004E200C"/>
    <w:rsid w:val="004E4342"/>
    <w:rsid w:val="00546D48"/>
    <w:rsid w:val="00585BED"/>
    <w:rsid w:val="005A0F99"/>
    <w:rsid w:val="005A4FE3"/>
    <w:rsid w:val="005B1F0E"/>
    <w:rsid w:val="005E32F3"/>
    <w:rsid w:val="0060068E"/>
    <w:rsid w:val="00604120"/>
    <w:rsid w:val="006C1C43"/>
    <w:rsid w:val="006E20B1"/>
    <w:rsid w:val="006E7A8B"/>
    <w:rsid w:val="007040A4"/>
    <w:rsid w:val="007268BB"/>
    <w:rsid w:val="00752D72"/>
    <w:rsid w:val="007568D4"/>
    <w:rsid w:val="007638A8"/>
    <w:rsid w:val="007771A5"/>
    <w:rsid w:val="00796D90"/>
    <w:rsid w:val="007C7C8A"/>
    <w:rsid w:val="007D5A9C"/>
    <w:rsid w:val="007E0241"/>
    <w:rsid w:val="007E4DC7"/>
    <w:rsid w:val="00812CE6"/>
    <w:rsid w:val="008134F4"/>
    <w:rsid w:val="00822449"/>
    <w:rsid w:val="00827A65"/>
    <w:rsid w:val="008328F1"/>
    <w:rsid w:val="00835513"/>
    <w:rsid w:val="00836F58"/>
    <w:rsid w:val="008405EC"/>
    <w:rsid w:val="00846DEB"/>
    <w:rsid w:val="00852A70"/>
    <w:rsid w:val="00864750"/>
    <w:rsid w:val="0088513A"/>
    <w:rsid w:val="00892C1A"/>
    <w:rsid w:val="00896191"/>
    <w:rsid w:val="008B6FE9"/>
    <w:rsid w:val="008C70E5"/>
    <w:rsid w:val="00930B05"/>
    <w:rsid w:val="0094179B"/>
    <w:rsid w:val="00964B55"/>
    <w:rsid w:val="00992F9E"/>
    <w:rsid w:val="009A28D2"/>
    <w:rsid w:val="009A6D3D"/>
    <w:rsid w:val="009B6AAE"/>
    <w:rsid w:val="009C259F"/>
    <w:rsid w:val="009D37EA"/>
    <w:rsid w:val="00A11153"/>
    <w:rsid w:val="00A4060C"/>
    <w:rsid w:val="00A44948"/>
    <w:rsid w:val="00A50DC3"/>
    <w:rsid w:val="00A539E5"/>
    <w:rsid w:val="00A60047"/>
    <w:rsid w:val="00A947EF"/>
    <w:rsid w:val="00AA45BE"/>
    <w:rsid w:val="00AA54CD"/>
    <w:rsid w:val="00AA6E56"/>
    <w:rsid w:val="00AC07BB"/>
    <w:rsid w:val="00AD4277"/>
    <w:rsid w:val="00AE0FAC"/>
    <w:rsid w:val="00AE55C3"/>
    <w:rsid w:val="00B0294F"/>
    <w:rsid w:val="00B35DFF"/>
    <w:rsid w:val="00B43601"/>
    <w:rsid w:val="00B56F58"/>
    <w:rsid w:val="00B648EF"/>
    <w:rsid w:val="00B72BF7"/>
    <w:rsid w:val="00B9066B"/>
    <w:rsid w:val="00BB0BA5"/>
    <w:rsid w:val="00BC5FB0"/>
    <w:rsid w:val="00BC6DFA"/>
    <w:rsid w:val="00BD2D4B"/>
    <w:rsid w:val="00BD49E0"/>
    <w:rsid w:val="00BD586B"/>
    <w:rsid w:val="00BE421D"/>
    <w:rsid w:val="00C01672"/>
    <w:rsid w:val="00C1480F"/>
    <w:rsid w:val="00C1663E"/>
    <w:rsid w:val="00C230CB"/>
    <w:rsid w:val="00C74542"/>
    <w:rsid w:val="00CD5D3B"/>
    <w:rsid w:val="00CD77B9"/>
    <w:rsid w:val="00D12CA6"/>
    <w:rsid w:val="00D24523"/>
    <w:rsid w:val="00D4328A"/>
    <w:rsid w:val="00D636BE"/>
    <w:rsid w:val="00D644F8"/>
    <w:rsid w:val="00D66AA4"/>
    <w:rsid w:val="00D7491C"/>
    <w:rsid w:val="00DB4391"/>
    <w:rsid w:val="00DC559A"/>
    <w:rsid w:val="00DC69FA"/>
    <w:rsid w:val="00DF2A07"/>
    <w:rsid w:val="00E16BD8"/>
    <w:rsid w:val="00E175A5"/>
    <w:rsid w:val="00E2215E"/>
    <w:rsid w:val="00E42C33"/>
    <w:rsid w:val="00E4504F"/>
    <w:rsid w:val="00E52153"/>
    <w:rsid w:val="00E5683A"/>
    <w:rsid w:val="00E6266F"/>
    <w:rsid w:val="00E70FAF"/>
    <w:rsid w:val="00E940EB"/>
    <w:rsid w:val="00E96644"/>
    <w:rsid w:val="00E974FA"/>
    <w:rsid w:val="00F53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7963-D109-4F1F-8C7F-89B0538C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2661</Words>
  <Characters>14641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8</cp:revision>
  <cp:lastPrinted>2017-09-08T17:27:00Z</cp:lastPrinted>
  <dcterms:created xsi:type="dcterms:W3CDTF">2018-10-16T00:40:00Z</dcterms:created>
  <dcterms:modified xsi:type="dcterms:W3CDTF">2018-12-18T01:34:00Z</dcterms:modified>
</cp:coreProperties>
</file>